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color w:val="595959"/>
          <w:spacing w:val="20"/>
          <w:sz w:val="20"/>
          <w:szCs w:val="20"/>
        </w:rPr>
        <w:t xml:space="preserve">KAJIAN PEMBANDING (BENCHMARKING)</w:t>
      </w:r>
    </w:p>
    <w:p>
      <w:pPr>
        <w:spacing w:after="60"/>
        <w:jc w:val="center"/>
      </w:pPr>
      <w:r>
        <w:rPr>
          <w:b/>
          <w:bCs/>
          <w:color w:val="1F3864"/>
          <w:sz w:val="32"/>
          <w:szCs w:val="32"/>
        </w:rPr>
        <w:br/>
        <w:t xml:space="preserve">ANALISIS PEMBANDING CAPAIAN DAN DIFERENSIASI MISI
DENGAN PERGURUAN TINGGI RUJUKAN</w:t>
      </w:r>
    </w:p>
    <w:p>
      <w:pPr>
        <w:spacing w:after="40"/>
        <w:jc w:val="center"/>
      </w:pPr>
      <w:r>
        <w:rPr>
          <w:b/>
          <w:bCs/>
          <w:color w:val="1F3864"/>
          <w:sz w:val="28"/>
          <w:szCs w:val="28"/>
        </w:rPr>
        <w:t xml:space="preserve">UNIVERSITAS ADVENT SURYA NUSANTARA</w:t>
      </w:r>
    </w:p>
    <w:p>
      <w:pPr>
        <w:pBdr>
          <w:bottom w:val="single" w:color="9C6B12" w:sz="6" w:space="8"/>
        </w:pBdr>
        <w:spacing w:after="260"/>
        <w:jc w:val="center"/>
      </w:pPr>
      <w:r>
        <w:rPr>
          <w:i/>
          <w:iCs/>
          <w:color w:val="595959"/>
          <w:sz w:val="20"/>
          <w:szCs w:val="20"/>
        </w:rPr>
        <w:t xml:space="preserve">Dokumen Pendukung LED Akreditasi Perguruan Tinggi — Kriteria Diferensiasi Misi</w:t>
      </w:r>
    </w:p>
    <w:p>
      <w:pPr>
        <w:pStyle w:val="Heading1"/>
        <w:spacing w:after="200" w:before="360"/>
      </w:pPr>
      <w:r>
        <w:rPr>
          <w:b/>
          <w:bCs/>
          <w:color w:val="1F3864"/>
          <w:sz w:val="28"/>
          <w:szCs w:val="28"/>
        </w:rPr>
        <w:t xml:space="preserve">1. PENDAHULUAN</w:t>
      </w:r>
    </w:p>
    <w:p>
      <w:pPr>
        <w:spacing w:after="160" w:line="300"/>
        <w:jc w:val="both"/>
      </w:pPr>
      <w:r>
        <w:rPr>
          <w:i w:val="false"/>
          <w:iCs w:val="false"/>
          <w:sz w:val="22"/>
          <w:szCs w:val="22"/>
        </w:rPr>
        <w:t xml:space="preserve">Kajian pembanding (benchmarking) ini disusun sebagai pemenuhan kebutuhan analisis pembandingan capaian institusi Universitas Advent Surya Nusantara (UASN) terhadap perguruan tinggi rujukan, sebagaimana disyaratkan dalam instrumen Akreditasi Perguruan Tinggi BAN-PT (Peraturan BAN-PT Nomor 35 Tahun 2025) pada kriteria Diferensiasi Misi, khususnya:</w:t>
      </w:r>
    </w:p>
    <w:p>
      <w:pPr>
        <w:pStyle w:val="ListParagraph"/>
        <w:numPr>
          <w:ilvl w:val="0"/>
          <w:numId w:val="2"/>
        </w:numPr>
        <w:spacing w:after="100" w:line="300"/>
        <w:jc w:val="both"/>
      </w:pPr>
      <w:r>
        <w:rPr>
          <w:sz w:val="22"/>
          <w:szCs w:val="22"/>
        </w:rPr>
        <w:t xml:space="preserve">Indikator 36B: penyusunan rencana strategis dan peta jalan pengembangan institusi yang “disusun melalui kajian pembandingan dengan institusi rujukan”;</w:t>
      </w:r>
    </w:p>
    <w:p>
      <w:pPr>
        <w:pStyle w:val="ListParagraph"/>
        <w:numPr>
          <w:ilvl w:val="0"/>
          <w:numId w:val="2"/>
        </w:numPr>
        <w:spacing w:after="100" w:line="300"/>
        <w:jc w:val="both"/>
      </w:pPr>
      <w:r>
        <w:rPr>
          <w:sz w:val="22"/>
          <w:szCs w:val="22"/>
        </w:rPr>
        <w:t xml:space="preserve">Indikator 38: pelaksanaan penilaian kesesuaian capaian tridharma terhadap diferensiasi misi, yang mencakup “kajian pembandingan capaian dengan pihak eksternal” secara berkala.</w:t>
      </w:r>
    </w:p>
    <w:p>
      <w:pPr>
        <w:spacing w:after="160" w:line="300"/>
        <w:jc w:val="both"/>
      </w:pPr>
      <w:r>
        <w:rPr>
          <w:i w:val="false"/>
          <w:iCs w:val="false"/>
          <w:sz w:val="22"/>
          <w:szCs w:val="22"/>
        </w:rPr>
        <w:t xml:space="preserve">Kajian ini bertujuan untuk memberikan gambaran posisi UASN dibandingkan dengan perguruan tinggi rujukan yang relevan, sebagai bahan evaluasi dan penajaman strategi pengembangan institusi pada periode Renstra 2025-2029 dan seterusnya.</w:t>
      </w:r>
    </w:p>
    <w:p>
      <w:pPr>
        <w:pStyle w:val="Heading1"/>
        <w:spacing w:after="200" w:before="360"/>
      </w:pPr>
      <w:r>
        <w:rPr>
          <w:b/>
          <w:bCs/>
          <w:color w:val="1F3864"/>
          <w:sz w:val="28"/>
          <w:szCs w:val="28"/>
        </w:rPr>
        <w:t xml:space="preserve">2. METODOLOGI PEMILIHAN INSTITUSI PEMBANDING</w:t>
      </w:r>
    </w:p>
    <w:p>
      <w:pPr>
        <w:spacing w:after="160" w:line="300"/>
        <w:jc w:val="both"/>
      </w:pPr>
      <w:r>
        <w:rPr>
          <w:i w:val="false"/>
          <w:iCs w:val="false"/>
          <w:sz w:val="22"/>
          <w:szCs w:val="22"/>
        </w:rPr>
        <w:t xml:space="preserve">Kajian ini menggunakan dua kategori institusi pembanding, mengikuti praktik lazim dalam metodologi benchmarking kelembagaan, yaitu Pembanding Sepadan (Peer Benchmark) dan Pembanding Aspirasional (Aspirational Benchmark).</w:t>
      </w:r>
    </w:p>
    <w:p>
      <w:pPr>
        <w:pStyle w:val="Heading2"/>
        <w:spacing w:after="160" w:before="280"/>
      </w:pPr>
      <w:r>
        <w:rPr>
          <w:b/>
          <w:bCs/>
          <w:color w:val="1F3864"/>
          <w:sz w:val="24"/>
          <w:szCs w:val="24"/>
        </w:rPr>
        <w:t xml:space="preserve">2.1 Pembanding Sepadan (Peer Benchmark)</w:t>
      </w:r>
    </w:p>
    <w:p>
      <w:pPr>
        <w:spacing w:after="160" w:line="300"/>
        <w:jc w:val="both"/>
      </w:pPr>
      <w:r>
        <w:rPr>
          <w:i w:val="false"/>
          <w:iCs w:val="false"/>
          <w:sz w:val="22"/>
          <w:szCs w:val="22"/>
        </w:rPr>
        <w:t xml:space="preserve">Dipilih berdasarkan tiga kriteria kesepadanan (comparability) agar hasil kajian relevan dan bermakna bagi arah pengembangan UASN pada tahap kelembagaan saat ini:</w:t>
      </w:r>
    </w:p>
    <w:p>
      <w:pPr>
        <w:pStyle w:val="ListParagraph"/>
        <w:numPr>
          <w:ilvl w:val="0"/>
          <w:numId w:val="3"/>
        </w:numPr>
        <w:spacing w:after="120" w:line="300"/>
        <w:jc w:val="both"/>
      </w:pPr>
      <w:r>
        <w:rPr>
          <w:sz w:val="22"/>
          <w:szCs w:val="22"/>
        </w:rPr>
        <w:t xml:space="preserve">Kesamaan badan penyelenggara/afiliasi keagamaan — institusi yang dikelola oleh badan penyelenggara sejenis (gereja/organisasi keagamaan), untuk melihat pembandingan dalam satu jaringan nilai dan tata kelola yang serupa.</w:t>
      </w:r>
    </w:p>
    <w:p>
      <w:pPr>
        <w:pStyle w:val="ListParagraph"/>
        <w:numPr>
          <w:ilvl w:val="0"/>
          <w:numId w:val="3"/>
        </w:numPr>
        <w:spacing w:after="120" w:line="300"/>
        <w:jc w:val="both"/>
      </w:pPr>
      <w:r>
        <w:rPr>
          <w:sz w:val="22"/>
          <w:szCs w:val="22"/>
        </w:rPr>
        <w:t xml:space="preserve">Kesamaan wilayah geografis dan status kelembagaan — institusi PTS lain yang berlokasi di Kota Pematangsiantar dan/atau di wilayah kerja LLDIKTI Wilayah I Sumatera Utara.</w:t>
      </w:r>
    </w:p>
    <w:p>
      <w:pPr>
        <w:pStyle w:val="ListParagraph"/>
        <w:numPr>
          <w:ilvl w:val="0"/>
          <w:numId w:val="3"/>
        </w:numPr>
        <w:spacing w:after="120" w:line="300"/>
        <w:jc w:val="both"/>
      </w:pPr>
      <w:r>
        <w:rPr>
          <w:sz w:val="22"/>
          <w:szCs w:val="22"/>
        </w:rPr>
        <w:t xml:space="preserve">Kesamaan asal-usul kelembagaan — institusi yang terbentuk melalui proses penggabungan (merger) dari beberapa sekolah tinggi/akademi menjadi universitas, sebagaimana proses pembentukan UASN.</w:t>
      </w:r>
    </w:p>
    <w:p>
      <w:pPr>
        <w:spacing w:after="160" w:line="300"/>
        <w:jc w:val="both"/>
      </w:pPr>
      <w:r>
        <w:rPr>
          <w:i w:val="false"/>
          <w:iCs w:val="false"/>
          <w:sz w:val="22"/>
          <w:szCs w:val="22"/>
        </w:rPr>
        <w:t xml:space="preserve">Berdasarkan kriteria tersebut, ditetapkan 3 (tiga) institusi pembanding sepadan: Universitas Advent Indonesia (UNAI), Universitas HKBP Nommensen Pematangsiantar (UHN Pematangsiantar), dan Universitas Deli Sumatera (UNDS). Secara total, kajian ini menggunakan 4 (empat) institusi pembanding (3 sepadan + 1 aspirasional).</w:t>
      </w:r>
    </w:p>
    <w:p>
      <w:pPr>
        <w:pStyle w:val="Heading2"/>
        <w:spacing w:after="160" w:before="280"/>
      </w:pPr>
      <w:r>
        <w:rPr>
          <w:b/>
          <w:bCs/>
          <w:color w:val="1F3864"/>
          <w:sz w:val="24"/>
          <w:szCs w:val="24"/>
        </w:rPr>
        <w:t xml:space="preserve">2.2 Pembanding Aspirasional (Aspirational Benchmark)</w:t>
      </w:r>
    </w:p>
    <w:p>
      <w:pPr>
        <w:spacing w:after="160" w:line="300"/>
        <w:jc w:val="both"/>
      </w:pPr>
      <w:r>
        <w:rPr>
          <w:i w:val="false"/>
          <w:iCs w:val="false"/>
          <w:sz w:val="22"/>
          <w:szCs w:val="22"/>
        </w:rPr>
        <w:t xml:space="preserve">Selain pembanding sepadan, kajian ini juga menyertakan 1 (satu) institusi pembanding aspirasional, yaitu perguruan tinggi dengan skala, sumber daya, dan reputasi yang jauh lebih besar, namun memiliki kemiripan karakter dasar (basis keagamaan Kristen) dan beroperasi pada wilayah kerja LLDIKTI yang sama. Tujuan penyertaan pembanding aspirasional adalah untuk memetakan standar praktik unggul (best practice) yang dapat menjadi arah jangka panjang pengembangan UASN, bukan untuk perbandingan langsung yang setara. Institusi yang dipilih adalah Universitas Pelita Harapan (UPH), khususnya UPH Kampus Medan yang beroperasi di wilayah kerja LLDIKTI Wilayah I.</w:t>
      </w:r>
    </w:p>
    <w:p>
      <w:pPr>
        <w:spacing w:after="160" w:line="300"/>
        <w:jc w:val="both"/>
      </w:pPr>
      <w:r>
        <w:rPr>
          <w:i w:val="false"/>
          <w:iCs w:val="false"/>
          <w:sz w:val="22"/>
          <w:szCs w:val="22"/>
        </w:rPr>
        <w:t xml:space="preserve">Seluruh data institusi pembanding bersumber dari laman resmi masing-masing institusi, basis data PD Dikti, serta publikasi resmi Lembaga Layanan Pendidikan Tinggi (LLDIKTI) Wilayah I.</w:t>
      </w:r>
    </w:p>
    <w:p>
      <w:pPr>
        <w:pStyle w:val="Heading1"/>
        <w:spacing w:after="200" w:before="360"/>
      </w:pPr>
      <w:r>
        <w:rPr>
          <w:b/>
          <w:bCs/>
          <w:color w:val="1F3864"/>
          <w:sz w:val="28"/>
          <w:szCs w:val="28"/>
        </w:rPr>
        <w:t xml:space="preserve">3. PROFIL INSTITUSI PEMBANDING</w:t>
      </w:r>
    </w:p>
    <w:p>
      <w:pPr>
        <w:pStyle w:val="Heading2"/>
        <w:spacing w:after="160" w:before="280"/>
      </w:pPr>
      <w:r>
        <w:rPr>
          <w:b/>
          <w:bCs/>
          <w:color w:val="1F3864"/>
          <w:sz w:val="24"/>
          <w:szCs w:val="24"/>
        </w:rPr>
        <w:t xml:space="preserve">3.1 Universitas Advent Indonesia (UNAI) — Pembanding Sesama Jaringan GMAHK</w:t>
      </w:r>
    </w:p>
    <w:p>
      <w:pPr>
        <w:spacing w:after="160" w:line="300"/>
        <w:jc w:val="both"/>
      </w:pPr>
      <w:r>
        <w:rPr>
          <w:i w:val="false"/>
          <w:iCs w:val="false"/>
          <w:sz w:val="22"/>
          <w:szCs w:val="22"/>
        </w:rPr>
        <w:t xml:space="preserve">Universitas Advent Indonesia (UNAI) berkedudukan di Kabupaten Bandung Barat, Jawa Barat, dan merupakan institusi pendidikan tinggi yang dikelola oleh Gereja Masehi Advent Hari Ketujuh (GMAHK) Uni Indonesia Kawasan Barat — badan penyelenggara dari denominasi yang sama dengan UASN. UNAI mulai beroperasi sejak tahun 1949 dan saat ini mengelola 6 (enam) Fakultas dengan 14 Program Studi, mencakup Fakultas Filsafat, Fakultas Keguruan dan Ilmu Pendidikan, Fakultas Ekonomi, Fakultas Ilmu Keperawatan, Fakultas Matematika dan Ilmu Pengetahuan Alam, serta Fakultas Teknologi Informasi. Seluruh program studi UNAI telah memperoleh akreditasi dari BAN-PT, dan secara khusus UNAI juga telah memperoleh akreditasi internasional dari Adventist Accrediting Association (AAA), lembaga akreditasi internasional khusus institusi pendidikan Advent yang berpusat di Amerika Serikat.</w:t>
      </w:r>
    </w:p>
    <w:p>
      <w:pPr>
        <w:spacing w:after="160" w:line="300"/>
        <w:jc w:val="both"/>
      </w:pPr>
      <w:r>
        <w:rPr>
          <w:i w:val="false"/>
          <w:iCs w:val="false"/>
          <w:sz w:val="22"/>
          <w:szCs w:val="22"/>
        </w:rPr>
        <w:t xml:space="preserve">UNAI relevan sebagai pembanding karena merupakan institusi “saudara” dalam satu jaringan badan penyelenggara GMAHK, sehingga dapat menjadi acuan dalam hal penerapan nilai-nilai keimanan dalam tridharma, tata kelola berbasis denominasi, serta strategi menuju pengakuan internasional (dual accreditation).</w:t>
      </w:r>
    </w:p>
    <w:p>
      <w:pPr>
        <w:pStyle w:val="Heading2"/>
        <w:spacing w:after="160" w:before="280"/>
      </w:pPr>
      <w:r>
        <w:rPr>
          <w:b/>
          <w:bCs/>
          <w:color w:val="1F3864"/>
          <w:sz w:val="24"/>
          <w:szCs w:val="24"/>
        </w:rPr>
        <w:t xml:space="preserve">3.2 Universitas HKBP Nommensen Pematangsiantar (UHN Pematangsiantar) — Pembanding Sesama Kota dan Berbasis Keagamaan</w:t>
      </w:r>
    </w:p>
    <w:p>
      <w:pPr>
        <w:spacing w:after="160" w:line="300"/>
        <w:jc w:val="both"/>
      </w:pPr>
      <w:r>
        <w:rPr>
          <w:i w:val="false"/>
          <w:iCs w:val="false"/>
          <w:sz w:val="22"/>
          <w:szCs w:val="22"/>
        </w:rPr>
        <w:t xml:space="preserve">Universitas HKBP Nommensen Pematangsiantar berkedudukan di Kecamatan Siantar Timur, Kota Pematangsiantar — kota yang sama dengan UASN. UHN Pematangsiantar merupakan PTS berbasis keagamaan Kristen yang diselenggarakan oleh badan penyelenggara Gereja HKBP, dengan status Akreditasi Perguruan Tinggi “Baik Sekali” dari BAN-PT (berdasarkan SK PerBAN-PT Nomor 5 Tahun 2024). Fokus program studi UHN Pematangsiantar meliputi rumpun sosial-sains dan sains-teknologi.</w:t>
      </w:r>
    </w:p>
    <w:p>
      <w:pPr>
        <w:spacing w:after="160" w:line="300"/>
        <w:jc w:val="both"/>
      </w:pPr>
      <w:r>
        <w:rPr>
          <w:i w:val="false"/>
          <w:iCs w:val="false"/>
          <w:sz w:val="22"/>
          <w:szCs w:val="22"/>
        </w:rPr>
        <w:t xml:space="preserve">UHN Pematangsiantar relevan sebagai pembanding lokal karena kesamaan wilayah operasional (Kota Pematangsiantar) dan kesamaan karakter sebagai PTS berbasis keagamaan Kristen, sehingga dapat menjadi acuan dalam hal strategi daya saing dan pangsa pasar mahasiswa di kota yang sama.</w:t>
      </w:r>
    </w:p>
    <w:p>
      <w:pPr>
        <w:pStyle w:val="Heading2"/>
        <w:spacing w:after="160" w:before="280"/>
      </w:pPr>
      <w:r>
        <w:rPr>
          <w:b/>
          <w:bCs/>
          <w:color w:val="1F3864"/>
          <w:sz w:val="24"/>
          <w:szCs w:val="24"/>
        </w:rPr>
        <w:t xml:space="preserve">3.3 Universitas Deli Sumatera (UNDS) — Pembanding Sesama Asal-Usul Penggabungan</w:t>
      </w:r>
    </w:p>
    <w:p>
      <w:pPr>
        <w:spacing w:after="160" w:line="300"/>
        <w:jc w:val="both"/>
      </w:pPr>
      <w:r>
        <w:rPr>
          <w:i w:val="false"/>
          <w:iCs w:val="false"/>
          <w:sz w:val="22"/>
          <w:szCs w:val="22"/>
        </w:rPr>
        <w:t xml:space="preserve">Universitas Deli Sumatera (UNDS) berkedudukan di Kota Medan, dan merupakan universitas yang terbentuk melalui penggabungan Sekolah Tinggi Ilmu Ekonomi Deli Sumatera dengan Sekolah Tinggi Ilmu Hukum Deli Sumatera, sebagaimana diumumkan resmi oleh Kepala LLDIKTI Wilayah I Sumatera Utara. Proses pembentukan UNDS ini sejalan dengan tren regional: LLDIKTI Wilayah I mencatat bahwa sepanjang tahun 2022 hingga 2024, proses penggabungan perguruan tinggi di Sumatera Utara telah menghasilkan 10 (sepuluh) universitas baru — termasuk di dalamnya UASN dan UNDS.</w:t>
      </w:r>
    </w:p>
    <w:p>
      <w:pPr>
        <w:spacing w:after="160" w:line="300"/>
        <w:jc w:val="both"/>
      </w:pPr>
      <w:r>
        <w:rPr>
          <w:i w:val="false"/>
          <w:iCs w:val="false"/>
          <w:sz w:val="22"/>
          <w:szCs w:val="22"/>
        </w:rPr>
        <w:t xml:space="preserve">UNDS relevan sebagai pembanding karena memiliki kesamaan mendasar dengan UASN dalam hal asal-usul kelembagaan, yaitu sama-sama merupakan universitas baru hasil penggabungan sekolah tinggi, sehingga dapat menjadi acuan dalam hal strategi transisi kelembagaan, penyelarasan VMTS pasca-penggabungan, dan percepatan pemenuhan syarat akreditasi sebagai entitas baru.</w:t>
      </w:r>
    </w:p>
    <w:p>
      <w:pPr>
        <w:pStyle w:val="Heading2"/>
        <w:spacing w:after="160" w:before="280"/>
      </w:pPr>
      <w:r>
        <w:rPr>
          <w:b/>
          <w:bCs/>
          <w:color w:val="1F3864"/>
          <w:sz w:val="24"/>
          <w:szCs w:val="24"/>
        </w:rPr>
        <w:t xml:space="preserve">3.4 Universitas Pelita Harapan (UPH) — Pembanding Aspirasional</w:t>
      </w:r>
    </w:p>
    <w:p>
      <w:pPr>
        <w:spacing w:after="160" w:line="300"/>
        <w:jc w:val="both"/>
      </w:pPr>
      <w:r>
        <w:rPr>
          <w:i w:val="false"/>
          <w:iCs w:val="false"/>
          <w:sz w:val="22"/>
          <w:szCs w:val="22"/>
        </w:rPr>
        <w:t xml:space="preserve">Universitas Pelita Harapan (UPH) didirikan pada 13 Desember 1993 oleh Yayasan Pendidikan Pelita Harapan (Lippo Group), dengan afiliasi keagamaan Kristen Protestan (Reformed/Evangelical). Kampus utama UPH berlokasi di Lippo Village, Tangerang, Banten, dengan status Akreditasi Institusi “Unggul” dari BAN-PT. Secara nasional, UPH mengelola puluhan program studi jenjang S1 hingga S3 di berbagai rumpun ilmu (Ekonomi dan Bisnis, Hukum, Ilmu Sosial dan Politik, Sains dan Teknologi, Ilmu Komputer, Psikologi, Desain, Kedokteran dan Ilmu Kesehatan, serta Pendidikan), dengan jumlah mahasiswa aktif mencapai lebih dari 16.000 orang dan rasio dosen terhadap mahasiswa 1:12.</w:t>
      </w:r>
    </w:p>
    <w:p>
      <w:pPr>
        <w:spacing w:after="160" w:line="300"/>
        <w:jc w:val="both"/>
      </w:pPr>
      <w:r>
        <w:rPr>
          <w:i w:val="false"/>
          <w:iCs w:val="false"/>
          <w:sz w:val="22"/>
          <w:szCs w:val="22"/>
        </w:rPr>
        <w:t xml:space="preserve">Yang membuat UPH relevan secara khusus sebagai pembanding bagi UASN adalah keberadaan UPH Kampus Medan, yang beroperasi di Sumatera Utara — wilayah kerja LLDIKTI Wilayah I yang sama dengan UASN — dengan menyelenggarakan 5 (lima) program studi: Manajemen, Akuntansi, Hukum, Sistem Informasi, dan Informatika. Dua di antaranya, yaitu Akuntansi dan Sistem Informasi, beririsan langsung dengan program studi yang diselenggarakan UASN.</w:t>
      </w:r>
    </w:p>
    <w:p>
      <w:pPr>
        <w:spacing w:after="160" w:line="300"/>
        <w:jc w:val="both"/>
      </w:pPr>
      <w:r>
        <w:rPr>
          <w:i w:val="false"/>
          <w:iCs w:val="false"/>
          <w:sz w:val="22"/>
          <w:szCs w:val="22"/>
        </w:rPr>
        <w:t xml:space="preserve">UPH relevan sebagai pembanding aspirasional karena menunjukkan standar praktik unggul dari institusi PTS berbasis Kristen dengan reputasi nasional, termasuk dalam hal pencapaian Akreditasi Unggul, rasio dosen-mahasiswa yang ideal, kekuatan jaringan kerja sama internasional, serta jejak sebagai perguruan tinggi pertama di Indonesia yang menyelenggarakan program berbahasa pengantar Inggris secara penuh. Meskipun skala dan sumber daya UPH jauh melampaui UASN saat ini, kehadiran kampus UPH di Medan juga menjadi sinyal penting bahwa UASN menghadapi persaingan dari institusi PTS berbasis keagamaan dengan reputasi kuat di wilayah kerja yang sama.</w:t>
      </w:r>
    </w:p>
    <w:p>
      <w:pPr>
        <w:pStyle w:val="Heading1"/>
        <w:spacing w:after="200" w:before="360"/>
      </w:pPr>
      <w:r>
        <w:rPr>
          <w:b/>
          <w:bCs/>
          <w:color w:val="1F3864"/>
          <w:sz w:val="28"/>
          <w:szCs w:val="28"/>
        </w:rPr>
        <w:t xml:space="preserve">4. ANALISIS KOMPARATIF</w:t>
      </w:r>
    </w:p>
    <w:p>
      <w:pPr>
        <w:spacing w:after="160" w:line="300"/>
        <w:jc w:val="both"/>
      </w:pPr>
      <w:r>
        <w:rPr>
          <w:i w:val="false"/>
          <w:iCs w:val="false"/>
          <w:sz w:val="22"/>
          <w:szCs w:val="22"/>
        </w:rPr>
        <w:t xml:space="preserve">Tabel berikut membandingkan UASN dengan ketiga institusi pembanding pada beberapa dimensi kunci yang relevan dengan diferensiasi misi dan tahapan pengembangan kelembagaan.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000"/>
        <w:gridCol w:w="1900"/>
        <w:gridCol w:w="1900"/>
        <w:gridCol w:w="1750"/>
        <w:gridCol w:w="1800"/>
      </w:tblGrid>
      <w:tr>
        <w:trPr>
          <w:tblHeader/>
        </w:trPr>
        <w:tc>
          <w:tcPr>
            <w:tcW w:type="dxa" w:w="2000"/>
            <w:shd w:fill="1F3864" w:val="clear"/>
            <w:tcMar>
              <w:top w:type="dxa" w:w="80"/>
              <w:left w:type="dxa" w:w="110"/>
              <w:bottom w:type="dxa" w:w="80"/>
              <w:right w:type="dxa" w:w="110"/>
            </w:tcMar>
            <w:vAlign w:val="center"/>
          </w:tcPr>
          <w:p>
            <w:pPr>
              <w:spacing w:after="40" w:line="260"/>
              <w:jc w:val="left"/>
            </w:pPr>
            <w:r>
              <w:rPr>
                <w:b/>
                <w:bCs/>
                <w:i w:val="false"/>
                <w:iCs w:val="false"/>
                <w:color w:val="FFFFFF"/>
                <w:sz w:val="19"/>
                <w:szCs w:val="19"/>
              </w:rPr>
              <w:t xml:space="preserve">Dimensi</w:t>
            </w:r>
          </w:p>
        </w:tc>
        <w:tc>
          <w:tcPr>
            <w:tcW w:type="dxa" w:w="1900"/>
            <w:shd w:fill="9C6B12" w:val="clear"/>
            <w:tcMar>
              <w:top w:type="dxa" w:w="80"/>
              <w:left w:type="dxa" w:w="110"/>
              <w:bottom w:type="dxa" w:w="80"/>
              <w:right w:type="dxa" w:w="110"/>
            </w:tcMar>
            <w:vAlign w:val="center"/>
          </w:tcPr>
          <w:p>
            <w:pPr>
              <w:spacing w:after="40" w:line="260"/>
              <w:jc w:val="center"/>
            </w:pPr>
            <w:r>
              <w:rPr>
                <w:b/>
                <w:bCs/>
                <w:i w:val="false"/>
                <w:iCs w:val="false"/>
                <w:color w:val="FFFFFF"/>
                <w:sz w:val="19"/>
                <w:szCs w:val="19"/>
              </w:rPr>
              <w:t xml:space="preserve">UASN</w:t>
            </w:r>
          </w:p>
        </w:tc>
        <w:tc>
          <w:tcPr>
            <w:tcW w:type="dxa" w:w="1900"/>
            <w:shd w:fill="1F3864" w:val="clear"/>
            <w:tcMar>
              <w:top w:type="dxa" w:w="80"/>
              <w:left w:type="dxa" w:w="110"/>
              <w:bottom w:type="dxa" w:w="80"/>
              <w:right w:type="dxa" w:w="110"/>
            </w:tcMar>
            <w:vAlign w:val="center"/>
          </w:tcPr>
          <w:p>
            <w:pPr>
              <w:spacing w:after="40" w:line="260"/>
              <w:jc w:val="center"/>
            </w:pPr>
            <w:r>
              <w:rPr>
                <w:b/>
                <w:bCs/>
                <w:i w:val="false"/>
                <w:iCs w:val="false"/>
                <w:color w:val="FFFFFF"/>
                <w:sz w:val="19"/>
                <w:szCs w:val="19"/>
              </w:rPr>
              <w:t xml:space="preserve">UNAI</w:t>
            </w:r>
          </w:p>
        </w:tc>
        <w:tc>
          <w:tcPr>
            <w:tcW w:type="dxa" w:w="1750"/>
            <w:shd w:fill="1F3864" w:val="clear"/>
            <w:tcMar>
              <w:top w:type="dxa" w:w="80"/>
              <w:left w:type="dxa" w:w="110"/>
              <w:bottom w:type="dxa" w:w="80"/>
              <w:right w:type="dxa" w:w="110"/>
            </w:tcMar>
            <w:vAlign w:val="center"/>
          </w:tcPr>
          <w:p>
            <w:pPr>
              <w:spacing w:after="40" w:line="260"/>
              <w:jc w:val="center"/>
            </w:pPr>
            <w:r>
              <w:rPr>
                <w:b/>
                <w:bCs/>
                <w:i w:val="false"/>
                <w:iCs w:val="false"/>
                <w:color w:val="FFFFFF"/>
                <w:sz w:val="19"/>
                <w:szCs w:val="19"/>
              </w:rPr>
              <w:t xml:space="preserve">UHN P.siantar</w:t>
            </w:r>
          </w:p>
        </w:tc>
        <w:tc>
          <w:tcPr>
            <w:tcW w:type="dxa" w:w="1800"/>
            <w:shd w:fill="1F3864" w:val="clear"/>
            <w:tcMar>
              <w:top w:type="dxa" w:w="80"/>
              <w:left w:type="dxa" w:w="110"/>
              <w:bottom w:type="dxa" w:w="80"/>
              <w:right w:type="dxa" w:w="110"/>
            </w:tcMar>
            <w:vAlign w:val="center"/>
          </w:tcPr>
          <w:p>
            <w:pPr>
              <w:spacing w:after="40" w:line="260"/>
              <w:jc w:val="center"/>
            </w:pPr>
            <w:r>
              <w:rPr>
                <w:b/>
                <w:bCs/>
                <w:i w:val="false"/>
                <w:iCs w:val="false"/>
                <w:color w:val="FFFFFF"/>
                <w:sz w:val="19"/>
                <w:szCs w:val="19"/>
              </w:rPr>
              <w:t xml:space="preserve">UNDS</w:t>
            </w:r>
          </w:p>
        </w:tc>
      </w:tr>
      <w:tr>
        <w:tc>
          <w:tcPr>
            <w:tcW w:type="dxa" w:w="2000"/>
            <w:tcMar>
              <w:top w:type="dxa" w:w="80"/>
              <w:left w:type="dxa" w:w="110"/>
              <w:bottom w:type="dxa" w:w="80"/>
              <w:right w:type="dxa" w:w="110"/>
            </w:tcMar>
            <w:vAlign w:val="center"/>
          </w:tcPr>
          <w:p>
            <w:pPr>
              <w:spacing w:after="40" w:line="260"/>
              <w:jc w:val="left"/>
            </w:pPr>
            <w:r>
              <w:rPr>
                <w:b/>
                <w:bCs/>
                <w:i w:val="false"/>
                <w:iCs w:val="false"/>
                <w:sz w:val="19"/>
                <w:szCs w:val="19"/>
              </w:rPr>
              <w:t xml:space="preserve">Badan Penyelenggara</w:t>
            </w:r>
          </w:p>
        </w:tc>
        <w:tc>
          <w:tcPr>
            <w:tcW w:type="dxa" w:w="19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GMAHK</w:t>
            </w:r>
          </w:p>
        </w:tc>
        <w:tc>
          <w:tcPr>
            <w:tcW w:type="dxa" w:w="19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GMAHK</w:t>
            </w:r>
          </w:p>
        </w:tc>
        <w:tc>
          <w:tcPr>
            <w:tcW w:type="dxa" w:w="175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Yayasan HKBP</w:t>
            </w:r>
          </w:p>
        </w:tc>
        <w:tc>
          <w:tcPr>
            <w:tcW w:type="dxa" w:w="18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Yayasan Deli Sumatera</w:t>
            </w:r>
          </w:p>
        </w:tc>
      </w:tr>
      <w:tr>
        <w:tc>
          <w:tcPr>
            <w:tcW w:type="dxa" w:w="2000"/>
            <w:tcMar>
              <w:top w:type="dxa" w:w="80"/>
              <w:left w:type="dxa" w:w="110"/>
              <w:bottom w:type="dxa" w:w="80"/>
              <w:right w:type="dxa" w:w="110"/>
            </w:tcMar>
            <w:vAlign w:val="center"/>
          </w:tcPr>
          <w:p>
            <w:pPr>
              <w:spacing w:after="40" w:line="260"/>
              <w:jc w:val="left"/>
            </w:pPr>
            <w:r>
              <w:rPr>
                <w:b/>
                <w:bCs/>
                <w:i w:val="false"/>
                <w:iCs w:val="false"/>
                <w:sz w:val="19"/>
                <w:szCs w:val="19"/>
              </w:rPr>
              <w:t xml:space="preserve">Lokasi</w:t>
            </w:r>
          </w:p>
        </w:tc>
        <w:tc>
          <w:tcPr>
            <w:tcW w:type="dxa" w:w="19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Pematangsiantar</w:t>
            </w:r>
          </w:p>
        </w:tc>
        <w:tc>
          <w:tcPr>
            <w:tcW w:type="dxa" w:w="19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Kab. Bandung Barat</w:t>
            </w:r>
          </w:p>
        </w:tc>
        <w:tc>
          <w:tcPr>
            <w:tcW w:type="dxa" w:w="175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Pematangsiantar</w:t>
            </w:r>
          </w:p>
        </w:tc>
        <w:tc>
          <w:tcPr>
            <w:tcW w:type="dxa" w:w="18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Medan</w:t>
            </w:r>
          </w:p>
        </w:tc>
      </w:tr>
      <w:tr>
        <w:tc>
          <w:tcPr>
            <w:tcW w:type="dxa" w:w="2000"/>
            <w:tcMar>
              <w:top w:type="dxa" w:w="80"/>
              <w:left w:type="dxa" w:w="110"/>
              <w:bottom w:type="dxa" w:w="80"/>
              <w:right w:type="dxa" w:w="110"/>
            </w:tcMar>
            <w:vAlign w:val="center"/>
          </w:tcPr>
          <w:p>
            <w:pPr>
              <w:spacing w:after="40" w:line="260"/>
              <w:jc w:val="left"/>
            </w:pPr>
            <w:r>
              <w:rPr>
                <w:b/>
                <w:bCs/>
                <w:i w:val="false"/>
                <w:iCs w:val="false"/>
                <w:sz w:val="19"/>
                <w:szCs w:val="19"/>
              </w:rPr>
              <w:t xml:space="preserve">Asal-usul Kelembagaan</w:t>
            </w:r>
          </w:p>
        </w:tc>
        <w:tc>
          <w:tcPr>
            <w:tcW w:type="dxa" w:w="19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Penggabungan 3 STIE/STT/Akademi (2024)</w:t>
            </w:r>
          </w:p>
        </w:tc>
        <w:tc>
          <w:tcPr>
            <w:tcW w:type="dxa" w:w="19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Berdiri langsung sebagai institusi Advent (1949)</w:t>
            </w:r>
          </w:p>
        </w:tc>
        <w:tc>
          <w:tcPr>
            <w:tcW w:type="dxa" w:w="175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Berdiri langsung (1954)</w:t>
            </w:r>
          </w:p>
        </w:tc>
        <w:tc>
          <w:tcPr>
            <w:tcW w:type="dxa" w:w="18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Penggabungan 2 Sekolah Tinggi (2025)</w:t>
            </w:r>
          </w:p>
        </w:tc>
      </w:tr>
      <w:tr>
        <w:tc>
          <w:tcPr>
            <w:tcW w:type="dxa" w:w="2000"/>
            <w:tcMar>
              <w:top w:type="dxa" w:w="80"/>
              <w:left w:type="dxa" w:w="110"/>
              <w:bottom w:type="dxa" w:w="80"/>
              <w:right w:type="dxa" w:w="110"/>
            </w:tcMar>
            <w:vAlign w:val="center"/>
          </w:tcPr>
          <w:p>
            <w:pPr>
              <w:spacing w:after="40" w:line="260"/>
              <w:jc w:val="left"/>
            </w:pPr>
            <w:r>
              <w:rPr>
                <w:b/>
                <w:bCs/>
                <w:i w:val="false"/>
                <w:iCs w:val="false"/>
                <w:sz w:val="19"/>
                <w:szCs w:val="19"/>
              </w:rPr>
              <w:t xml:space="preserve">Jumlah Fakultas / Prodi</w:t>
            </w:r>
          </w:p>
        </w:tc>
        <w:tc>
          <w:tcPr>
            <w:tcW w:type="dxa" w:w="19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4 Fakultas / 7 Prodi</w:t>
            </w:r>
          </w:p>
        </w:tc>
        <w:tc>
          <w:tcPr>
            <w:tcW w:type="dxa" w:w="19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6 Fakultas / 14 Prodi</w:t>
            </w:r>
          </w:p>
        </w:tc>
        <w:tc>
          <w:tcPr>
            <w:tcW w:type="dxa" w:w="175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Multi-fakultas, rumpun sosial &amp; sains-teknologi</w:t>
            </w:r>
          </w:p>
        </w:tc>
        <w:tc>
          <w:tcPr>
            <w:tcW w:type="dxa" w:w="18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2 rumpun awal (Ekonomi &amp; Hukum)</w:t>
            </w:r>
          </w:p>
        </w:tc>
      </w:tr>
      <w:tr>
        <w:tc>
          <w:tcPr>
            <w:tcW w:type="dxa" w:w="2000"/>
            <w:tcMar>
              <w:top w:type="dxa" w:w="80"/>
              <w:left w:type="dxa" w:w="110"/>
              <w:bottom w:type="dxa" w:w="80"/>
              <w:right w:type="dxa" w:w="110"/>
            </w:tcMar>
            <w:vAlign w:val="center"/>
          </w:tcPr>
          <w:p>
            <w:pPr>
              <w:spacing w:after="40" w:line="260"/>
              <w:jc w:val="left"/>
            </w:pPr>
            <w:r>
              <w:rPr>
                <w:b/>
                <w:bCs/>
                <w:i w:val="false"/>
                <w:iCs w:val="false"/>
                <w:sz w:val="19"/>
                <w:szCs w:val="19"/>
              </w:rPr>
              <w:t xml:space="preserve">Akreditasi Institusi (PT)</w:t>
            </w:r>
          </w:p>
        </w:tc>
        <w:tc>
          <w:tcPr>
            <w:tcW w:type="dxa" w:w="19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Baru diterbitkan 2025 (SK No. 2627/SK/BAN-PT/2025)</w:t>
            </w:r>
          </w:p>
        </w:tc>
        <w:tc>
          <w:tcPr>
            <w:tcW w:type="dxa" w:w="19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B (BAN-PT) + AAA (internasional)</w:t>
            </w:r>
          </w:p>
        </w:tc>
        <w:tc>
          <w:tcPr>
            <w:tcW w:type="dxa" w:w="175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Baik Sekali (SK PerBAN-PT No. 5/2024)</w:t>
            </w:r>
          </w:p>
        </w:tc>
        <w:tc>
          <w:tcPr>
            <w:tcW w:type="dxa" w:w="18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Dalam proses pasca-penggabungan</w:t>
            </w:r>
          </w:p>
        </w:tc>
      </w:tr>
      <w:tr>
        <w:tc>
          <w:tcPr>
            <w:tcW w:type="dxa" w:w="2000"/>
            <w:tcMar>
              <w:top w:type="dxa" w:w="80"/>
              <w:left w:type="dxa" w:w="110"/>
              <w:bottom w:type="dxa" w:w="80"/>
              <w:right w:type="dxa" w:w="110"/>
            </w:tcMar>
            <w:vAlign w:val="center"/>
          </w:tcPr>
          <w:p>
            <w:pPr>
              <w:spacing w:after="40" w:line="260"/>
              <w:jc w:val="left"/>
            </w:pPr>
            <w:r>
              <w:rPr>
                <w:b/>
                <w:bCs/>
                <w:i w:val="false"/>
                <w:iCs w:val="false"/>
                <w:sz w:val="19"/>
                <w:szCs w:val="19"/>
              </w:rPr>
              <w:t xml:space="preserve">Fokus Diferensiasi Misi</w:t>
            </w:r>
          </w:p>
        </w:tc>
        <w:tc>
          <w:tcPr>
            <w:tcW w:type="dxa" w:w="19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Excellence Teaching University berbasis iman &amp; ilmu</w:t>
            </w:r>
          </w:p>
        </w:tc>
        <w:tc>
          <w:tcPr>
            <w:tcW w:type="dxa" w:w="19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Pendidikan Kristen Advent, berwawasan global</w:t>
            </w:r>
          </w:p>
        </w:tc>
        <w:tc>
          <w:tcPr>
            <w:tcW w:type="dxa" w:w="175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Pendidikan Kristen berbasis TI, budaya Batak</w:t>
            </w:r>
          </w:p>
        </w:tc>
        <w:tc>
          <w:tcPr>
            <w:tcW w:type="dxa" w:w="1800"/>
            <w:tcMar>
              <w:top w:type="dxa" w:w="80"/>
              <w:left w:type="dxa" w:w="110"/>
              <w:bottom w:type="dxa" w:w="80"/>
              <w:right w:type="dxa" w:w="110"/>
            </w:tcMar>
            <w:vAlign w:val="center"/>
          </w:tcPr>
          <w:p>
            <w:pPr>
              <w:spacing w:after="40" w:line="260"/>
              <w:jc w:val="left"/>
            </w:pPr>
            <w:r>
              <w:rPr>
                <w:b w:val="false"/>
                <w:bCs w:val="false"/>
                <w:i w:val="false"/>
                <w:iCs w:val="false"/>
                <w:sz w:val="19"/>
                <w:szCs w:val="19"/>
              </w:rPr>
              <w:t xml:space="preserve">Ekonomi &amp; hukum terapan berbasis komunitas</w:t>
            </w:r>
          </w:p>
        </w:tc>
      </w:tr>
      <w:tr>
        <w:tc>
          <w:tcPr>
            <w:tcW w:type="dxa" w:w="2000"/>
            <w:tcMar>
              <w:top w:type="dxa" w:w="80"/>
              <w:left w:type="dxa" w:w="110"/>
              <w:bottom w:type="dxa" w:w="80"/>
              <w:right w:type="dxa" w:w="110"/>
            </w:tcMar>
            <w:vAlign w:val="center"/>
          </w:tcPr>
          <w:p>
            <w:pPr>
              <w:spacing w:after="40" w:line="260"/>
              <w:jc w:val="left"/>
            </w:pPr>
            <w:r>
              <w:rPr>
                <w:b/>
                <w:bCs/>
                <w:i w:val="false"/>
                <w:iCs w:val="false"/>
                <w:sz w:val="19"/>
                <w:szCs w:val="19"/>
              </w:rPr>
              <w:t xml:space="preserve">Pengakuan Internasional</w:t>
            </w:r>
          </w:p>
        </w:tc>
        <w:tc>
          <w:tcPr>
            <w:tcW w:type="dxa" w:w="19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Belum ada</w:t>
            </w:r>
          </w:p>
        </w:tc>
        <w:tc>
          <w:tcPr>
            <w:tcW w:type="dxa" w:w="19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Ada (AAA)</w:t>
            </w:r>
          </w:p>
        </w:tc>
        <w:tc>
          <w:tcPr>
            <w:tcW w:type="dxa" w:w="175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Belum teridentifikasi</w:t>
            </w:r>
          </w:p>
        </w:tc>
        <w:tc>
          <w:tcPr>
            <w:tcW w:type="dxa" w:w="1800"/>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Belum ada (institusi baru)</w:t>
            </w:r>
          </w:p>
        </w:tc>
      </w:tr>
    </w:tbl>
    <w:p>
      <w:pPr>
        <w:spacing w:after="160"/>
      </w:pPr>
    </w:p>
    <w:p>
      <w:pPr>
        <w:spacing w:after="160" w:line="300"/>
        <w:jc w:val="both"/>
      </w:pPr>
      <w:r>
        <w:rPr>
          <w:i/>
          <w:iCs/>
          <w:sz w:val="22"/>
          <w:szCs w:val="22"/>
        </w:rPr>
        <w:t xml:space="preserve">Catatan: Data institusi pembanding bersumber dari laman resmi masing-masing perguruan tinggi, publikasi resmi LLDIKTI Wilayah I, dan basis data PD Dikti per tahun 2026. Data disajikan sebagai gambaran umum untuk kepentingan analisis pembandingan strategis, dan disarankan untuk diperbarui secara berkala oleh LP3M UASN.</w:t>
      </w:r>
    </w:p>
    <w:p>
      <w:pPr>
        <w:pStyle w:val="Heading2"/>
        <w:spacing w:after="160" w:before="280"/>
      </w:pPr>
      <w:r>
        <w:rPr>
          <w:b/>
          <w:bCs/>
          <w:color w:val="1F3864"/>
          <w:sz w:val="24"/>
          <w:szCs w:val="24"/>
        </w:rPr>
        <w:t xml:space="preserve">4.1 Pembandingan dengan Pembanding Aspirasional (UPH)</w:t>
      </w:r>
    </w:p>
    <w:p>
      <w:pPr>
        <w:spacing w:after="160" w:line="300"/>
        <w:jc w:val="both"/>
      </w:pPr>
      <w:r>
        <w:rPr>
          <w:i w:val="false"/>
          <w:iCs w:val="false"/>
          <w:sz w:val="22"/>
          <w:szCs w:val="22"/>
        </w:rPr>
        <w:t xml:space="preserve">Karena perbedaan skala yang signifikan, UPH dibandingkan secara terpisah menggunakan dimensi yang berorientasi pada standar mutu dan reputasi, bukan pembandingan setara (apple-to-apple).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3275"/>
        <w:gridCol w:w="3275"/>
      </w:tblGrid>
      <w:tr>
        <w:trPr>
          <w:tblHeader/>
        </w:trPr>
        <w:tc>
          <w:tcPr>
            <w:tcW w:type="dxa" w:w="2800"/>
            <w:shd w:fill="1F3864" w:val="clear"/>
            <w:tcMar>
              <w:top w:type="dxa" w:w="80"/>
              <w:left w:type="dxa" w:w="110"/>
              <w:bottom w:type="dxa" w:w="80"/>
              <w:right w:type="dxa" w:w="110"/>
            </w:tcMar>
            <w:vAlign w:val="center"/>
          </w:tcPr>
          <w:p>
            <w:pPr>
              <w:spacing w:after="40" w:line="260"/>
              <w:jc w:val="left"/>
            </w:pPr>
            <w:r>
              <w:rPr>
                <w:b/>
                <w:bCs/>
                <w:i w:val="false"/>
                <w:iCs w:val="false"/>
                <w:color w:val="FFFFFF"/>
                <w:sz w:val="19"/>
                <w:szCs w:val="19"/>
              </w:rPr>
              <w:t xml:space="preserve">Dimensi</w:t>
            </w:r>
          </w:p>
        </w:tc>
        <w:tc>
          <w:tcPr>
            <w:tcW w:type="dxa" w:w="3275"/>
            <w:shd w:fill="9C6B12" w:val="clear"/>
            <w:tcMar>
              <w:top w:type="dxa" w:w="80"/>
              <w:left w:type="dxa" w:w="110"/>
              <w:bottom w:type="dxa" w:w="80"/>
              <w:right w:type="dxa" w:w="110"/>
            </w:tcMar>
            <w:vAlign w:val="center"/>
          </w:tcPr>
          <w:p>
            <w:pPr>
              <w:spacing w:after="40" w:line="260"/>
              <w:jc w:val="center"/>
            </w:pPr>
            <w:r>
              <w:rPr>
                <w:b/>
                <w:bCs/>
                <w:i w:val="false"/>
                <w:iCs w:val="false"/>
                <w:color w:val="FFFFFF"/>
                <w:sz w:val="19"/>
                <w:szCs w:val="19"/>
              </w:rPr>
              <w:t xml:space="preserve">UASN (Saat Ini)</w:t>
            </w:r>
          </w:p>
        </w:tc>
        <w:tc>
          <w:tcPr>
            <w:tcW w:type="dxa" w:w="3275"/>
            <w:shd w:fill="1F3864" w:val="clear"/>
            <w:tcMar>
              <w:top w:type="dxa" w:w="80"/>
              <w:left w:type="dxa" w:w="110"/>
              <w:bottom w:type="dxa" w:w="80"/>
              <w:right w:type="dxa" w:w="110"/>
            </w:tcMar>
            <w:vAlign w:val="center"/>
          </w:tcPr>
          <w:p>
            <w:pPr>
              <w:spacing w:after="40" w:line="260"/>
              <w:jc w:val="center"/>
            </w:pPr>
            <w:r>
              <w:rPr>
                <w:b/>
                <w:bCs/>
                <w:i w:val="false"/>
                <w:iCs w:val="false"/>
                <w:color w:val="FFFFFF"/>
                <w:sz w:val="19"/>
                <w:szCs w:val="19"/>
              </w:rPr>
              <w:t xml:space="preserve">UPH (Pembanding Aspirasional)</w:t>
            </w:r>
          </w:p>
        </w:tc>
      </w:tr>
      <w:tr>
        <w:tc>
          <w:tcPr>
            <w:tcW w:type="dxa" w:w="2800"/>
            <w:tcMar>
              <w:top w:type="dxa" w:w="80"/>
              <w:left w:type="dxa" w:w="110"/>
              <w:bottom w:type="dxa" w:w="80"/>
              <w:right w:type="dxa" w:w="110"/>
            </w:tcMar>
            <w:vAlign w:val="center"/>
          </w:tcPr>
          <w:p>
            <w:pPr>
              <w:spacing w:after="40" w:line="260"/>
              <w:jc w:val="left"/>
            </w:pPr>
            <w:r>
              <w:rPr>
                <w:b/>
                <w:bCs/>
                <w:i w:val="false"/>
                <w:iCs w:val="false"/>
                <w:sz w:val="19"/>
                <w:szCs w:val="19"/>
              </w:rPr>
              <w:t xml:space="preserve">Akreditasi Institusi</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Baru diterbitkan 2025</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Unggul</w:t>
            </w:r>
          </w:p>
        </w:tc>
      </w:tr>
      <w:tr>
        <w:tc>
          <w:tcPr>
            <w:tcW w:type="dxa" w:w="2800"/>
            <w:tcMar>
              <w:top w:type="dxa" w:w="80"/>
              <w:left w:type="dxa" w:w="110"/>
              <w:bottom w:type="dxa" w:w="80"/>
              <w:right w:type="dxa" w:w="110"/>
            </w:tcMar>
            <w:vAlign w:val="center"/>
          </w:tcPr>
          <w:p>
            <w:pPr>
              <w:spacing w:after="40" w:line="260"/>
              <w:jc w:val="left"/>
            </w:pPr>
            <w:r>
              <w:rPr>
                <w:b/>
                <w:bCs/>
                <w:i w:val="false"/>
                <w:iCs w:val="false"/>
                <w:sz w:val="19"/>
                <w:szCs w:val="19"/>
              </w:rPr>
              <w:t xml:space="preserve">Kehadiran di LLDIKTI Wilayah I</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Kota Pematangsiantar (kampus utama)</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Kota Medan (kampus cabang)</w:t>
            </w:r>
          </w:p>
        </w:tc>
      </w:tr>
      <w:tr>
        <w:tc>
          <w:tcPr>
            <w:tcW w:type="dxa" w:w="2800"/>
            <w:tcMar>
              <w:top w:type="dxa" w:w="80"/>
              <w:left w:type="dxa" w:w="110"/>
              <w:bottom w:type="dxa" w:w="80"/>
              <w:right w:type="dxa" w:w="110"/>
            </w:tcMar>
            <w:vAlign w:val="center"/>
          </w:tcPr>
          <w:p>
            <w:pPr>
              <w:spacing w:after="40" w:line="260"/>
              <w:jc w:val="left"/>
            </w:pPr>
            <w:r>
              <w:rPr>
                <w:b/>
                <w:bCs/>
                <w:i w:val="false"/>
                <w:iCs w:val="false"/>
                <w:sz w:val="19"/>
                <w:szCs w:val="19"/>
              </w:rPr>
              <w:t xml:space="preserve">Irisan Program Studi</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Akuntansi, Sistem Informasi, dst.</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Akuntansi, Sistem Informasi (di Kampus Medan)</w:t>
            </w:r>
          </w:p>
        </w:tc>
      </w:tr>
      <w:tr>
        <w:tc>
          <w:tcPr>
            <w:tcW w:type="dxa" w:w="2800"/>
            <w:tcMar>
              <w:top w:type="dxa" w:w="80"/>
              <w:left w:type="dxa" w:w="110"/>
              <w:bottom w:type="dxa" w:w="80"/>
              <w:right w:type="dxa" w:w="110"/>
            </w:tcMar>
            <w:vAlign w:val="center"/>
          </w:tcPr>
          <w:p>
            <w:pPr>
              <w:spacing w:after="40" w:line="260"/>
              <w:jc w:val="left"/>
            </w:pPr>
            <w:r>
              <w:rPr>
                <w:b/>
                <w:bCs/>
                <w:i w:val="false"/>
                <w:iCs w:val="false"/>
                <w:sz w:val="19"/>
                <w:szCs w:val="19"/>
              </w:rPr>
              <w:t xml:space="preserve">Rasio Dosen : Mahasiswa</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Bervariasi per prodi (lihat data SDM UASN)</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1 : 12 (nasional)</w:t>
            </w:r>
          </w:p>
        </w:tc>
      </w:tr>
      <w:tr>
        <w:tc>
          <w:tcPr>
            <w:tcW w:type="dxa" w:w="2800"/>
            <w:tcMar>
              <w:top w:type="dxa" w:w="80"/>
              <w:left w:type="dxa" w:w="110"/>
              <w:bottom w:type="dxa" w:w="80"/>
              <w:right w:type="dxa" w:w="110"/>
            </w:tcMar>
            <w:vAlign w:val="center"/>
          </w:tcPr>
          <w:p>
            <w:pPr>
              <w:spacing w:after="40" w:line="260"/>
              <w:jc w:val="left"/>
            </w:pPr>
            <w:r>
              <w:rPr>
                <w:b/>
                <w:bCs/>
                <w:i w:val="false"/>
                <w:iCs w:val="false"/>
                <w:sz w:val="19"/>
                <w:szCs w:val="19"/>
              </w:rPr>
              <w:t xml:space="preserve">Jaringan Kerja Sama Internasional</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Sudah terjalin dengan 4 mitra di 3 negara (Malaysia, Ethiopia, Filipina); 2 di antaranya sesama jaringan GMAHK</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Luas (a.l. Hanyang University, Murdoch University, University of Leeds)</w:t>
            </w:r>
          </w:p>
        </w:tc>
      </w:tr>
      <w:tr>
        <w:tc>
          <w:tcPr>
            <w:tcW w:type="dxa" w:w="2800"/>
            <w:tcMar>
              <w:top w:type="dxa" w:w="80"/>
              <w:left w:type="dxa" w:w="110"/>
              <w:bottom w:type="dxa" w:w="80"/>
              <w:right w:type="dxa" w:w="110"/>
            </w:tcMar>
            <w:vAlign w:val="center"/>
          </w:tcPr>
          <w:p>
            <w:pPr>
              <w:spacing w:after="40" w:line="260"/>
              <w:jc w:val="left"/>
            </w:pPr>
            <w:r>
              <w:rPr>
                <w:b/>
                <w:bCs/>
                <w:i w:val="false"/>
                <w:iCs w:val="false"/>
                <w:sz w:val="19"/>
                <w:szCs w:val="19"/>
              </w:rPr>
              <w:t xml:space="preserve">Keunggulan Pembeda</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Basis iman GMAHK, kedekatan komunitas lokal</w:t>
            </w:r>
          </w:p>
        </w:tc>
        <w:tc>
          <w:tcPr>
            <w:tcW w:type="dxa" w:w="3275"/>
            <w:tcMar>
              <w:top w:type="dxa" w:w="80"/>
              <w:left w:type="dxa" w:w="110"/>
              <w:bottom w:type="dxa" w:w="80"/>
              <w:right w:type="dxa" w:w="110"/>
            </w:tcMar>
            <w:vAlign w:val="center"/>
          </w:tcPr>
          <w:p>
            <w:pPr>
              <w:spacing w:after="40" w:line="260"/>
              <w:jc w:val="center"/>
            </w:pPr>
            <w:r>
              <w:rPr>
                <w:b w:val="false"/>
                <w:bCs w:val="false"/>
                <w:i w:val="false"/>
                <w:iCs w:val="false"/>
                <w:sz w:val="19"/>
                <w:szCs w:val="19"/>
              </w:rPr>
              <w:t xml:space="preserve">Pelopor kelas berbahasa Inggris penuh &amp; kurikulum liberal arts di Indonesia</w:t>
            </w:r>
          </w:p>
        </w:tc>
      </w:tr>
    </w:tbl>
    <w:p>
      <w:pPr>
        <w:spacing w:after="160"/>
      </w:pPr>
    </w:p>
    <w:p>
      <w:pPr>
        <w:pStyle w:val="Heading1"/>
        <w:spacing w:after="200" w:before="360"/>
      </w:pPr>
      <w:r>
        <w:rPr>
          <w:b/>
          <w:bCs/>
          <w:color w:val="1F3864"/>
          <w:sz w:val="28"/>
          <w:szCs w:val="28"/>
        </w:rPr>
        <w:t xml:space="preserve">5. TEMUAN DAN REKOMENDASI STRATEGIS</w:t>
      </w:r>
    </w:p>
    <w:p>
      <w:pPr>
        <w:pStyle w:val="Heading2"/>
        <w:spacing w:after="160" w:before="280"/>
      </w:pPr>
      <w:r>
        <w:rPr>
          <w:b/>
          <w:bCs/>
          <w:color w:val="1F3864"/>
          <w:sz w:val="24"/>
          <w:szCs w:val="24"/>
        </w:rPr>
        <w:t xml:space="preserve">5.1 Temuan Utama</w:t>
      </w:r>
    </w:p>
    <w:p>
      <w:pPr>
        <w:pStyle w:val="ListParagraph"/>
        <w:numPr>
          <w:ilvl w:val="0"/>
          <w:numId w:val="2"/>
        </w:numPr>
        <w:spacing w:after="100" w:line="300"/>
        <w:jc w:val="both"/>
      </w:pPr>
      <w:r>
        <w:rPr>
          <w:sz w:val="22"/>
          <w:szCs w:val="22"/>
        </w:rPr>
        <w:t xml:space="preserve">UASN berada pada tahap awal siklus hidup kelembagaan (baru resmi berdiri Desember 2024) dibandingkan UNAI dan UHN Pematangsiantar yang telah beroperasi puluhan tahun — namun sejalan dengan UNDS yang juga baru terbentuk melalui penggabungan, menunjukkan UASN bukan kasus unik melainkan bagian dari tren regional penataan PTS di Sumatera Utara.</w:t>
      </w:r>
    </w:p>
    <w:p>
      <w:pPr>
        <w:pStyle w:val="ListParagraph"/>
        <w:numPr>
          <w:ilvl w:val="0"/>
          <w:numId w:val="2"/>
        </w:numPr>
        <w:spacing w:after="100" w:line="300"/>
        <w:jc w:val="both"/>
      </w:pPr>
      <w:r>
        <w:rPr>
          <w:sz w:val="22"/>
          <w:szCs w:val="22"/>
        </w:rPr>
        <w:t xml:space="preserve">Dari sisi keunikan diferensiasi misi, UASN memiliki peluang untuk memperkuat posisi sebagai satu-satunya PTS berbasis GMAHK di wilayah Sumatera Utara, sebagaimana UNAI menjadi rujukan di Jawa Barat — termasuk peluang menjajaki pengakuan internasional melalui Adventist Accrediting Association (AAA) sebagaimana telah dicapai UNAI.</w:t>
      </w:r>
    </w:p>
    <w:p>
      <w:pPr>
        <w:pStyle w:val="ListParagraph"/>
        <w:numPr>
          <w:ilvl w:val="0"/>
          <w:numId w:val="2"/>
        </w:numPr>
        <w:spacing w:after="100" w:line="300"/>
        <w:jc w:val="both"/>
      </w:pPr>
      <w:r>
        <w:rPr>
          <w:sz w:val="22"/>
          <w:szCs w:val="22"/>
        </w:rPr>
        <w:t xml:space="preserve">Dibandingkan dengan UHN Pematangsiantar yang beroperasi di kota yang sama dan telah meraih status akreditasi “Baik Sekali”, UASN perlu mempercepat pemenuhan indikator kinerja tridharma agar dapat bersaing secara sehat dalam menarik minat calon mahasiswa di Kota Pematangsiantar.</w:t>
      </w:r>
    </w:p>
    <w:p>
      <w:pPr>
        <w:pStyle w:val="ListParagraph"/>
        <w:numPr>
          <w:ilvl w:val="0"/>
          <w:numId w:val="2"/>
        </w:numPr>
        <w:spacing w:after="100" w:line="300"/>
        <w:jc w:val="both"/>
      </w:pPr>
      <w:r>
        <w:rPr>
          <w:sz w:val="22"/>
          <w:szCs w:val="22"/>
        </w:rPr>
        <w:t xml:space="preserve">Sebagai sesama institusi hasil penggabungan, pengalaman UNDS dapat menjadi pembelajaran (lessons learned) dalam hal kecepatan penyelarasan VMTS, tata kelola pasca-merger, dan strategi transisi menuju status terakreditasi definitif.</w:t>
      </w:r>
    </w:p>
    <w:p>
      <w:pPr>
        <w:pStyle w:val="ListParagraph"/>
        <w:numPr>
          <w:ilvl w:val="0"/>
          <w:numId w:val="2"/>
        </w:numPr>
        <w:spacing w:after="100" w:line="300"/>
        <w:jc w:val="both"/>
      </w:pPr>
      <w:r>
        <w:rPr>
          <w:sz w:val="22"/>
          <w:szCs w:val="22"/>
        </w:rPr>
        <w:t xml:space="preserve">Kehadiran UPH Kampus Medan di wilayah kerja LLDIKTI Wilayah I — dengan status Akreditasi Unggul dan program studi yang beririsan langsung (Akuntansi, Sistem Informasi) — menunjukkan bahwa UASN turut bersaing dengan institusi PTS berbasis Kristen berskala nasional yang telah memiliki reputasi dan sumber daya jauh lebih besar, meskipun bukan pesaing langsung di Kota Pematangsiantar.</w:t>
      </w:r>
    </w:p>
    <w:p>
      <w:pPr>
        <w:pStyle w:val="ListParagraph"/>
        <w:numPr>
          <w:ilvl w:val="0"/>
          <w:numId w:val="2"/>
        </w:numPr>
        <w:spacing w:after="100" w:line="300"/>
        <w:jc w:val="both"/>
      </w:pPr>
      <w:r>
        <w:rPr>
          <w:sz w:val="22"/>
          <w:szCs w:val="22"/>
        </w:rPr>
        <w:t xml:space="preserve">UASN telah memiliki 4 kerja sama luar negeri aktif (Malaysia ×2, Ethiopia, Filipina), 2 di antaranya dengan sesama institusi jaringan GMAHK (Ethiopia Adventist College dan South Philippine Adventist College) — posisi ini lebih maju dari asumsi awal dan menjadi modal kuat untuk memperdalam jaringan Advent internasional sebagaimana telah dicapai UNAI melalui AAA.</w:t>
      </w:r>
    </w:p>
    <w:p>
      <w:pPr>
        <w:pStyle w:val="Heading2"/>
        <w:spacing w:after="160" w:before="280"/>
      </w:pPr>
      <w:r>
        <w:rPr>
          <w:b/>
          <w:bCs/>
          <w:color w:val="1F3864"/>
          <w:sz w:val="24"/>
          <w:szCs w:val="24"/>
        </w:rPr>
        <w:t xml:space="preserve">5.2 Rekomendasi Strategis</w:t>
      </w:r>
    </w:p>
    <w:p>
      <w:pPr>
        <w:pStyle w:val="ListParagraph"/>
        <w:numPr>
          <w:ilvl w:val="0"/>
          <w:numId w:val="2"/>
        </w:numPr>
        <w:spacing w:after="100" w:line="300"/>
        <w:jc w:val="both"/>
      </w:pPr>
      <w:r>
        <w:rPr>
          <w:sz w:val="22"/>
          <w:szCs w:val="22"/>
        </w:rPr>
        <w:t xml:space="preserve">Menjajaki penjajakan kerja sama atau benchmarking langsung (kunjungan/studi banding) dengan UNAI, khususnya terkait pengalaman memperoleh akreditasi internasional AAA, sebagai salah satu langkah memperkuat pengakuan eksternal UASN (mendukung Indikator 39).</w:t>
      </w:r>
    </w:p>
    <w:p>
      <w:pPr>
        <w:pStyle w:val="ListParagraph"/>
        <w:numPr>
          <w:ilvl w:val="0"/>
          <w:numId w:val="2"/>
        </w:numPr>
        <w:spacing w:after="100" w:line="300"/>
        <w:jc w:val="both"/>
      </w:pPr>
      <w:r>
        <w:rPr>
          <w:sz w:val="22"/>
          <w:szCs w:val="22"/>
        </w:rPr>
        <w:t xml:space="preserve">Melakukan kajian pembanding capaian secara berkala (minimal setiap tahun) dengan memutakhirkan data ketiga institusi rujukan ini, sebagai bagian dari mekanisme evaluasi tahunan LP3M terhadap ketercapaian diferensiasi misi (mendukung Indikator 38).</w:t>
      </w:r>
    </w:p>
    <w:p>
      <w:pPr>
        <w:pStyle w:val="ListParagraph"/>
        <w:numPr>
          <w:ilvl w:val="0"/>
          <w:numId w:val="2"/>
        </w:numPr>
        <w:spacing w:after="100" w:line="300"/>
        <w:jc w:val="both"/>
      </w:pPr>
      <w:r>
        <w:rPr>
          <w:sz w:val="22"/>
          <w:szCs w:val="22"/>
        </w:rPr>
        <w:t xml:space="preserve">Memperkuat narasi keunikan (uniqueness) UASN sebagai satu-satunya universitas berbasis GMAHK di Sumatera Utara dalam dokumen promosi dan akreditasi, sebagai pembeda dari PTS berbasis keagamaan lain di Kota Pematangsiantar.</w:t>
      </w:r>
    </w:p>
    <w:p>
      <w:pPr>
        <w:pStyle w:val="ListParagraph"/>
        <w:numPr>
          <w:ilvl w:val="0"/>
          <w:numId w:val="2"/>
        </w:numPr>
        <w:spacing w:after="100" w:line="300"/>
        <w:jc w:val="both"/>
      </w:pPr>
      <w:r>
        <w:rPr>
          <w:sz w:val="22"/>
          <w:szCs w:val="22"/>
        </w:rPr>
        <w:t xml:space="preserve">Mempelajari secara lebih mendalam praktik baik UNDS dalam hal percepatan penyelesaian dokumen tata kelola pasca-penggabungan, mengingat kesamaan tahapan kelembagaan.</w:t>
      </w:r>
    </w:p>
    <w:p>
      <w:pPr>
        <w:pStyle w:val="ListParagraph"/>
        <w:numPr>
          <w:ilvl w:val="0"/>
          <w:numId w:val="2"/>
        </w:numPr>
        <w:spacing w:after="100" w:line="300"/>
        <w:jc w:val="both"/>
      </w:pPr>
      <w:r>
        <w:rPr>
          <w:sz w:val="22"/>
          <w:szCs w:val="22"/>
        </w:rPr>
        <w:t xml:space="preserve">Menjadikan capaian UPH sebagai referensi standar mutu jangka panjang (bukan target jangka pendek), khususnya terkait rasio dosen-mahasiswa yang ideal, perluasan kerja sama internasional, dan penguatan tata kelola menuju Akreditasi Unggul — sejalan dengan peta jalan UASN 2025-2044 menuju Excellent Teaching University dan seterusnya.</w:t>
      </w:r>
    </w:p>
    <w:p>
      <w:pPr>
        <w:pStyle w:val="ListParagraph"/>
        <w:numPr>
          <w:ilvl w:val="0"/>
          <w:numId w:val="2"/>
        </w:numPr>
        <w:spacing w:after="100" w:line="300"/>
        <w:jc w:val="both"/>
      </w:pPr>
      <w:r>
        <w:rPr>
          <w:sz w:val="22"/>
          <w:szCs w:val="22"/>
        </w:rPr>
        <w:t xml:space="preserve">Memantau perkembangan program studi UPH Kampus Medan yang beririsan dengan UASN (Akuntansi, Sistem Informasi) sebagai bagian dari analisis lanskap persaingan regional, tanpa mengubah fokus diferensiasi misi UASN yang berbasis pada keunikan nilai-nilai GMAHK.</w:t>
      </w:r>
    </w:p>
    <w:p>
      <w:pPr>
        <w:pStyle w:val="Heading1"/>
        <w:spacing w:after="200" w:before="360"/>
      </w:pPr>
      <w:r>
        <w:rPr>
          <w:b/>
          <w:bCs/>
          <w:color w:val="1F3864"/>
          <w:sz w:val="28"/>
          <w:szCs w:val="28"/>
        </w:rPr>
        <w:t xml:space="preserve">6. PENUTUP</w:t>
      </w:r>
    </w:p>
    <w:p>
      <w:pPr>
        <w:spacing w:after="160" w:line="300"/>
        <w:jc w:val="both"/>
      </w:pPr>
      <w:r>
        <w:rPr>
          <w:i w:val="false"/>
          <w:iCs w:val="false"/>
          <w:sz w:val="22"/>
          <w:szCs w:val="22"/>
        </w:rPr>
        <w:t xml:space="preserve">Kajian pembanding ini merupakan dokumen hidup (living document) yang akan ditinjau dan dimutakhirkan secara berkala oleh Lembaga Pengembangan Pendidikan dan Penjaminan Mutu (LP3M) UASN, sejalan dengan mekanisme evaluasi tahunan terhadap ketercapaian diferensiasi misi sebagaimana diatur dalam Rencana Strategis UASN 2025-2029. Kajian ini menjadi salah satu dasar bagi penyempurnaan strategi pengembangan institusi pada penyusunan Rencana Strategis periode berikutnya.</w:t>
      </w:r>
    </w:p>
    <w:p>
      <w:pPr>
        <w:spacing w:before="400"/>
      </w:pPr>
    </w:p>
    <w:p>
      <w:pPr>
        <w:jc w:val="right"/>
      </w:pPr>
      <w:r>
        <w:rPr>
          <w:sz w:val="22"/>
          <w:szCs w:val="22"/>
        </w:rPr>
        <w:t xml:space="preserve">Pematangsiantar, ......................... 2025</w:t>
      </w:r>
    </w:p>
    <w:p>
      <w:pPr>
        <w:spacing w:after="1200"/>
        <w:jc w:val="right"/>
      </w:pPr>
      <w:r>
        <w:rPr>
          <w:sz w:val="22"/>
          <w:szCs w:val="22"/>
        </w:rPr>
        <w:t xml:space="preserve">Disusun oleh,</w:t>
      </w:r>
    </w:p>
    <w:p>
      <w:pPr>
        <w:jc w:val="right"/>
      </w:pPr>
      <w:r>
        <w:rPr>
          <w:b/>
          <w:bCs/>
          <w:sz w:val="22"/>
          <w:szCs w:val="22"/>
          <w:u w:val="single"/>
        </w:rPr>
        <w:t xml:space="preserve">Kepala Lembaga Pengembangan Pendidikan dan Penjaminan Mutu (LP3M)</w:t>
      </w:r>
    </w:p>
    <w:sectPr>
      <w:headerReference w:type="default" r:id="rId7"/>
      <w:footerReference w:type="default" r:id="rId8"/>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Halaman </w:t>
    </w:r>
    <w:r>
      <w:rPr>
        <w:color w:val="595959"/>
        <w:sz w:val="16"/>
        <w:szCs w:val="16"/>
      </w:rPr>
      <w:fldChar w:fldCharType="begin"/>
      <w:instrText xml:space="preserve">PAGE</w:instrText>
      <w:fldChar w:fldCharType="separate"/>
      <w:fldChar w:fldCharType="end"/>
    </w:r>
    <w:r>
      <w:rPr>
        <w:color w:val="595959"/>
        <w:sz w:val="16"/>
        <w:szCs w:val="16"/>
      </w:rPr>
      <w:t xml:space="preserve"> dari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jc w:val="right"/>
    </w:pPr>
    <w:r>
      <w:rPr>
        <w:i/>
        <w:iCs/>
        <w:color w:val="595959"/>
        <w:sz w:val="16"/>
        <w:szCs w:val="16"/>
      </w:rPr>
      <w:t xml:space="preserve">Kajian Benchmarking — UASN 2025-2029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76"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2026-08-29T05:13:46.278Z</dcterms:created>
  <dcterms:modified xsi:type="dcterms:W3CDTF">2026-08-29T05:13:46.278Z</dcterms:modified>
</cp:coreProperties>
</file>

<file path=docProps/custom.xml><?xml version="1.0" encoding="utf-8"?>
<Properties xmlns="http://schemas.openxmlformats.org/officeDocument/2006/custom-properties" xmlns:vt="http://schemas.openxmlformats.org/officeDocument/2006/docPropsVTypes"/>
</file>