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color w:val="595959"/>
          <w:spacing w:val="20"/>
          <w:sz w:val="20"/>
          <w:szCs w:val="20"/>
        </w:rPr>
        <w:t xml:space="preserve">DOKUMEN RUJUKAN</w:t>
      </w:r>
    </w:p>
    <w:p>
      <w:pPr>
        <w:spacing w:after="60"/>
        <w:jc w:val="center"/>
      </w:pPr>
      <w:r>
        <w:rPr>
          <w:b/>
          <w:bCs/>
          <w:color w:val="1F3864"/>
          <w:sz w:val="40"/>
          <w:szCs w:val="40"/>
        </w:rPr>
        <w:t xml:space="preserve">VISI, MISI, TUJUAN, DAN SASARAN STRATEGIS (VMTS)</w:t>
      </w:r>
    </w:p>
    <w:p>
      <w:pPr>
        <w:spacing w:after="40"/>
        <w:jc w:val="center"/>
      </w:pPr>
      <w:r>
        <w:rPr>
          <w:b/>
          <w:bCs/>
          <w:color w:val="1F3864"/>
          <w:sz w:val="30"/>
          <w:szCs w:val="30"/>
        </w:rPr>
        <w:t xml:space="preserve">UNIVERSITAS ADVENT SURYA NUSANTARA</w:t>
      </w:r>
    </w:p>
    <w:p>
      <w:pPr>
        <w:pBdr>
          <w:bottom w:val="single" w:color="9C6B12" w:sz="6" w:space="8"/>
        </w:pBdr>
        <w:spacing w:after="260"/>
        <w:jc w:val="center"/>
      </w:pPr>
      <w:r>
        <w:rPr>
          <w:i/>
          <w:iCs/>
          <w:color w:val="595959"/>
          <w:sz w:val="20"/>
          <w:szCs w:val="20"/>
        </w:rPr>
        <w:t xml:space="preserve">Periode 2025 – 2029  |  Ditetapkan berdasarkan SK Rektor Nomor 018.A/UASN/REKTOR/IN/I/2025</w:t>
      </w:r>
    </w:p>
    <w:p>
      <w:pPr>
        <w:pStyle w:val="Heading1"/>
        <w:spacing w:after="200" w:before="360"/>
      </w:pPr>
      <w:r>
        <w:rPr>
          <w:b/>
          <w:bCs/>
          <w:color w:val="1F3864"/>
          <w:sz w:val="28"/>
          <w:szCs w:val="28"/>
        </w:rPr>
        <w:t xml:space="preserve">1. PENDAHULUAN</w:t>
      </w:r>
    </w:p>
    <w:p>
      <w:pPr>
        <w:spacing w:after="160" w:line="300"/>
        <w:jc w:val="both"/>
      </w:pPr>
      <w:r>
        <w:rPr>
          <w:i w:val="false"/>
          <w:iCs w:val="false"/>
          <w:sz w:val="22"/>
          <w:szCs w:val="22"/>
        </w:rPr>
        <w:t xml:space="preserve">Dokumen ini disusun sebagai rujukan tunggal (single source of truth) bagi Visi, Misi, Tujuan, dan Sasaran Strategis (VMTS) Universitas Advent Surya Nusantara (UASN) untuk periode 2025–2029. Dokumen VMTS Rujukan ini diterbitkan untuk memastikan konsistensi rumusan VMTS yang digunakan pada seluruh dokumen formal universitas — termasuk Rencana Strategis (Renstra), Rencana Operasional (Renop), laman resmi (website) universitas, Laporan Evaluasi Diri (LED), dokumen akreditasi program studi, serta renstra turunan di tingkat Fakultas dan Program Studi.</w:t>
      </w:r>
    </w:p>
    <w:p>
      <w:pPr>
        <w:spacing w:after="160" w:line="300"/>
        <w:jc w:val="both"/>
      </w:pPr>
      <w:r>
        <w:rPr>
          <w:i w:val="false"/>
          <w:iCs w:val="false"/>
          <w:sz w:val="22"/>
          <w:szCs w:val="22"/>
        </w:rPr>
        <w:t xml:space="preserve">Penyusunan dokumen ini dilatarbelakangi oleh kebutuhan penyelarasan rumusan VMTS pasca-penggabungan tiga institusi (Sekolah Tinggi Ilmu Ekonomi Surya Nusantara, Sekolah Tinggi Filsafat Theologia Nusantara, dan Akademi Keperawatan Surya Nusantara) menjadi Universitas Advent Surya Nusantara, berdasarkan Keputusan Menteri Pendidikan Tinggi, Sains, dan Teknologi Republik Indonesia Nomor 14/A/O/2024 tanggal 19 Desember 2024.</w:t>
      </w:r>
    </w:p>
    <w:p>
      <w:pPr>
        <w:spacing w:after="160" w:line="300"/>
        <w:jc w:val="both"/>
      </w:pPr>
      <w:r>
        <w:rPr>
          <w:i w:val="false"/>
          <w:iCs w:val="false"/>
          <w:sz w:val="22"/>
          <w:szCs w:val="22"/>
        </w:rPr>
        <w:t xml:space="preserve">Rumusan VMTS dalam dokumen ini mengacu secara definitif pada Rencana Strategis (Renstra) UASN Tahun 2025-2029 yang telah ditetapkan melalui Surat Keputusan Rektor Nomor 018.A/UASN/REKTOR/IN/I/2025. Seluruh dokumen dan kanal informasi lain (termasuk laman resmi website UASN) wajib disesuaikan dan diselaraskan dengan rumusan pada dokumen ini.</w:t>
      </w:r>
    </w:p>
    <w:p>
      <w:pPr>
        <w:pStyle w:val="Heading1"/>
        <w:spacing w:after="200" w:before="360"/>
      </w:pPr>
      <w:r>
        <w:rPr>
          <w:b/>
          <w:bCs/>
          <w:color w:val="1F3864"/>
          <w:sz w:val="28"/>
          <w:szCs w:val="28"/>
        </w:rPr>
        <w:t xml:space="preserve">2. DASAR HUKUM</w:t>
      </w:r>
    </w:p>
    <w:p>
      <w:pPr>
        <w:pStyle w:val="ListParagraph"/>
        <w:numPr>
          <w:ilvl w:val="0"/>
          <w:numId w:val="2"/>
        </w:numPr>
        <w:spacing w:after="120" w:line="300"/>
        <w:jc w:val="both"/>
      </w:pPr>
      <w:r>
        <w:rPr>
          <w:sz w:val="22"/>
          <w:szCs w:val="22"/>
        </w:rPr>
        <w:t xml:space="preserve">Undang-Undang Nomor 20 Tahun 2003 tentang Sistem Pendidikan Nasional;</w:t>
      </w:r>
    </w:p>
    <w:p>
      <w:pPr>
        <w:pStyle w:val="ListParagraph"/>
        <w:numPr>
          <w:ilvl w:val="0"/>
          <w:numId w:val="2"/>
        </w:numPr>
        <w:spacing w:after="120" w:line="300"/>
        <w:jc w:val="both"/>
      </w:pPr>
      <w:r>
        <w:rPr>
          <w:sz w:val="22"/>
          <w:szCs w:val="22"/>
        </w:rPr>
        <w:t xml:space="preserve">Undang-Undang Nomor 12 Tahun 2012 tentang Pendidikan Tinggi;</w:t>
      </w:r>
    </w:p>
    <w:p>
      <w:pPr>
        <w:pStyle w:val="ListParagraph"/>
        <w:numPr>
          <w:ilvl w:val="0"/>
          <w:numId w:val="2"/>
        </w:numPr>
        <w:spacing w:after="120" w:line="300"/>
        <w:jc w:val="both"/>
      </w:pPr>
      <w:r>
        <w:rPr>
          <w:sz w:val="22"/>
          <w:szCs w:val="22"/>
        </w:rPr>
        <w:t xml:space="preserve">Peraturan Pemerintah Republik Indonesia Nomor 4 Tahun 2014 tentang Penyelenggaraan Pendidikan Tinggi dan Pengelolaan Perguruan Tinggi;</w:t>
      </w:r>
    </w:p>
    <w:p>
      <w:pPr>
        <w:pStyle w:val="ListParagraph"/>
        <w:numPr>
          <w:ilvl w:val="0"/>
          <w:numId w:val="2"/>
        </w:numPr>
        <w:spacing w:after="120" w:line="300"/>
        <w:jc w:val="both"/>
      </w:pPr>
      <w:r>
        <w:rPr>
          <w:sz w:val="22"/>
          <w:szCs w:val="22"/>
        </w:rPr>
        <w:t xml:space="preserve">Peraturan Menteri Pendidikan Tinggi, Sains, dan Teknologi Republik Indonesia Nomor 39 Tahun 2025 tentang Standar Nasional Pendidikan Tinggi;</w:t>
      </w:r>
    </w:p>
    <w:p>
      <w:pPr>
        <w:pStyle w:val="ListParagraph"/>
        <w:numPr>
          <w:ilvl w:val="0"/>
          <w:numId w:val="2"/>
        </w:numPr>
        <w:spacing w:after="120" w:line="300"/>
        <w:jc w:val="both"/>
      </w:pPr>
      <w:r>
        <w:rPr>
          <w:sz w:val="22"/>
          <w:szCs w:val="22"/>
        </w:rPr>
        <w:t xml:space="preserve">Peraturan Badan Akreditasi Nasional Perguruan Tinggi Nomor 35 Tahun 2025 tentang Instrumen Akreditasi Perguruan Tinggi untuk Status Terakreditasi dan Status Terakreditasi Unggul;</w:t>
      </w:r>
    </w:p>
    <w:p>
      <w:pPr>
        <w:pStyle w:val="ListParagraph"/>
        <w:numPr>
          <w:ilvl w:val="0"/>
          <w:numId w:val="2"/>
        </w:numPr>
        <w:spacing w:after="120" w:line="300"/>
        <w:jc w:val="both"/>
      </w:pPr>
      <w:r>
        <w:rPr>
          <w:sz w:val="22"/>
          <w:szCs w:val="22"/>
        </w:rPr>
        <w:t xml:space="preserve">Keputusan Menteri Pendidikan Tinggi, Sains, dan Teknologi Republik Indonesia Nomor 14/A/O/2024 tanggal 19 Desember 2024 tentang Izin Penggabungan menjadi Universitas Advent Surya Nusantara;</w:t>
      </w:r>
    </w:p>
    <w:p>
      <w:pPr>
        <w:pStyle w:val="ListParagraph"/>
        <w:numPr>
          <w:ilvl w:val="0"/>
          <w:numId w:val="2"/>
        </w:numPr>
        <w:spacing w:after="120" w:line="300"/>
        <w:jc w:val="both"/>
      </w:pPr>
      <w:r>
        <w:rPr>
          <w:sz w:val="22"/>
          <w:szCs w:val="22"/>
        </w:rPr>
        <w:t xml:space="preserve">Surat Keputusan Badan Akreditasi Nasional Perguruan Tinggi Nomor 2627/SK/BAN-PT/Ak-PNB/PT/VIII/2025 tentang Peringkat Akreditasi Perguruan Tinggi Universitas Advent Surya Nusantara;</w:t>
      </w:r>
    </w:p>
    <w:p>
      <w:pPr>
        <w:pStyle w:val="ListParagraph"/>
        <w:numPr>
          <w:ilvl w:val="0"/>
          <w:numId w:val="2"/>
        </w:numPr>
        <w:spacing w:after="120" w:line="300"/>
        <w:jc w:val="both"/>
      </w:pPr>
      <w:r>
        <w:rPr>
          <w:sz w:val="22"/>
          <w:szCs w:val="22"/>
        </w:rPr>
        <w:t xml:space="preserve">Statuta Universitas Advent Surya Nusantara;</w:t>
      </w:r>
    </w:p>
    <w:p>
      <w:pPr>
        <w:pStyle w:val="ListParagraph"/>
        <w:numPr>
          <w:ilvl w:val="0"/>
          <w:numId w:val="2"/>
        </w:numPr>
        <w:spacing w:after="120" w:line="300"/>
        <w:jc w:val="both"/>
      </w:pPr>
      <w:r>
        <w:rPr>
          <w:sz w:val="22"/>
          <w:szCs w:val="22"/>
        </w:rPr>
        <w:t xml:space="preserve">Surat Keputusan Rektor Universitas Advent Surya Nusantara Nomor 018.A/UASN/REKTOR/IN/I/2025 tentang Penetapan Rencana Strategis (Renstra) Universitas Advent Surya Nusantara Tahun 2025-2029.</w:t>
      </w:r>
    </w:p>
    <w:p>
      <w:pPr>
        <w:pStyle w:val="Heading1"/>
        <w:spacing w:after="200" w:before="360"/>
      </w:pPr>
      <w:r>
        <w:rPr>
          <w:b/>
          <w:bCs/>
          <w:color w:val="1F3864"/>
          <w:sz w:val="28"/>
          <w:szCs w:val="28"/>
        </w:rPr>
        <w:t xml:space="preserve">3. VISI</w:t>
      </w:r>
    </w:p>
    <w:p>
      <w:pPr>
        <w:spacing w:after="160" w:line="300"/>
        <w:jc w:val="both"/>
      </w:pPr>
      <w:r>
        <w:rPr>
          <w:i w:val="false"/>
          <w:iCs w:val="false"/>
          <w:sz w:val="22"/>
          <w:szCs w:val="22"/>
        </w:rPr>
        <w:t xml:space="preserve">Visi Universitas Advent Surya Nusantara dirumuskan sebagai gambaran masa depan yang dicita-citakan, hendak diwujudkan pada tahun 2035, sebagai berikut:</w:t>
      </w:r>
    </w:p>
    <w:p>
      <w:pPr>
        <w:pBdr>
          <w:top w:val="single" w:color="9C6B12" w:sz="4" w:space="12"/>
          <w:bottom w:val="single" w:color="9C6B12" w:sz="4" w:space="12"/>
        </w:pBdr>
        <w:spacing w:after="200" w:before="120"/>
        <w:jc w:val="center"/>
      </w:pPr>
      <w:r>
        <w:rPr>
          <w:b/>
          <w:bCs/>
          <w:i/>
          <w:iCs/>
          <w:color w:val="1F3864"/>
          <w:sz w:val="24"/>
          <w:szCs w:val="24"/>
        </w:rPr>
        <w:t xml:space="preserve">“Menjadi Universitas yang unggul dalam iman dan ilmu pengetahuan, membentuk lulusan berkarakter ilahi, siap melayani dengan perspektif lokal dan berwawasan global pada tahun 2035.”</w:t>
      </w:r>
    </w:p>
    <w:p>
      <w:pPr>
        <w:spacing w:after="160" w:line="300"/>
        <w:jc w:val="both"/>
      </w:pPr>
      <w:r>
        <w:rPr>
          <w:i w:val="false"/>
          <w:iCs w:val="false"/>
          <w:sz w:val="22"/>
          <w:szCs w:val="22"/>
        </w:rPr>
        <w:t xml:space="preserve">Penjabaran unsur pokok Visi UASN adalah sebagai berikut:</w:t>
      </w:r>
    </w:p>
    <w:p>
      <w:pPr>
        <w:pStyle w:val="ListParagraph"/>
        <w:numPr>
          <w:ilvl w:val="0"/>
          <w:numId w:val="3"/>
        </w:numPr>
        <w:spacing w:after="100" w:line="300"/>
        <w:jc w:val="both"/>
      </w:pPr>
      <w:r>
        <w:rPr>
          <w:sz w:val="22"/>
          <w:szCs w:val="22"/>
        </w:rPr>
        <w:t xml:space="preserve">Unggul dalam iman dan ilmu pengetahuan — Keunggulan yang dicapai melalui perpaduan aspek keimanan (nilai-nilai ilahi) dengan penguasaan ilmu pengetahuan dan teknologi secara seimbang.</w:t>
      </w:r>
    </w:p>
    <w:p>
      <w:pPr>
        <w:pStyle w:val="ListParagraph"/>
        <w:numPr>
          <w:ilvl w:val="0"/>
          <w:numId w:val="3"/>
        </w:numPr>
        <w:spacing w:after="100" w:line="300"/>
        <w:jc w:val="both"/>
      </w:pPr>
      <w:r>
        <w:rPr>
          <w:sz w:val="22"/>
          <w:szCs w:val="22"/>
        </w:rPr>
        <w:t xml:space="preserve">Lulusan berkarakter ilahi — Lulusan yang memiliki integritas, moralitas, dan spiritualitas yang tercermin dalam sikap dan perilaku sehari-hari.</w:t>
      </w:r>
    </w:p>
    <w:p>
      <w:pPr>
        <w:pStyle w:val="ListParagraph"/>
        <w:numPr>
          <w:ilvl w:val="0"/>
          <w:numId w:val="3"/>
        </w:numPr>
        <w:spacing w:after="100" w:line="300"/>
        <w:jc w:val="both"/>
      </w:pPr>
      <w:r>
        <w:rPr>
          <w:sz w:val="22"/>
          <w:szCs w:val="22"/>
        </w:rPr>
        <w:t xml:space="preserve">Perspektif lokal — Kepekaan dan kepedulian terhadap konteks, kebutuhan, dan kearifan masyarakat serta pembangunan daerah, khususnya wilayah LLDIKTI Wilayah I Sumatera Utara.</w:t>
      </w:r>
    </w:p>
    <w:p>
      <w:pPr>
        <w:pStyle w:val="ListParagraph"/>
        <w:numPr>
          <w:ilvl w:val="0"/>
          <w:numId w:val="3"/>
        </w:numPr>
        <w:spacing w:after="100" w:line="300"/>
        <w:jc w:val="both"/>
      </w:pPr>
      <w:r>
        <w:rPr>
          <w:sz w:val="22"/>
          <w:szCs w:val="22"/>
        </w:rPr>
        <w:t xml:space="preserve">Berwawasan global — Kesiapan bersaing dan berkontribusi pada tingkat nasional maupun internasional.</w:t>
      </w:r>
    </w:p>
    <w:p>
      <w:pPr>
        <w:pStyle w:val="ListParagraph"/>
        <w:numPr>
          <w:ilvl w:val="0"/>
          <w:numId w:val="3"/>
        </w:numPr>
        <w:spacing w:after="100" w:line="300"/>
        <w:jc w:val="both"/>
      </w:pPr>
      <w:r>
        <w:rPr>
          <w:sz w:val="22"/>
          <w:szCs w:val="22"/>
        </w:rPr>
        <w:t xml:space="preserve">Tahun 2035 — Batas waktu capaian visi, selaras dengan Peta Jalan (Roadmap) pengembangan jangka panjang UASN 2025-2044 pada tahap Teaching University menuju Excellent Teaching University.</w:t>
      </w:r>
    </w:p>
    <w:p>
      <w:pPr>
        <w:pStyle w:val="Heading1"/>
        <w:spacing w:after="200" w:before="360"/>
      </w:pPr>
      <w:r>
        <w:rPr>
          <w:b/>
          <w:bCs/>
          <w:color w:val="1F3864"/>
          <w:sz w:val="28"/>
          <w:szCs w:val="28"/>
        </w:rPr>
        <w:t xml:space="preserve">4. MISI</w:t>
      </w:r>
    </w:p>
    <w:p>
      <w:pPr>
        <w:spacing w:after="160" w:line="300"/>
        <w:jc w:val="both"/>
      </w:pPr>
      <w:r>
        <w:rPr>
          <w:i w:val="false"/>
          <w:iCs w:val="false"/>
          <w:sz w:val="22"/>
          <w:szCs w:val="22"/>
        </w:rPr>
        <w:t xml:space="preserve">Untuk mewujudkan Visi tersebut, Universitas Advent Surya Nusantara mengemban 6 (enam) Misi sebagai berikut:</w:t>
      </w:r>
    </w:p>
    <w:p>
      <w:pPr>
        <w:pStyle w:val="ListParagraph"/>
        <w:numPr>
          <w:ilvl w:val="0"/>
          <w:numId w:val="4"/>
        </w:numPr>
        <w:spacing w:after="120" w:line="300"/>
        <w:jc w:val="both"/>
      </w:pPr>
      <w:r>
        <w:rPr>
          <w:sz w:val="22"/>
          <w:szCs w:val="22"/>
        </w:rPr>
        <w:t xml:space="preserve">Menyelenggarakan pendidikan unggul yang memadukan iman dan ilmu pengetahuan, membentuk lulusan berkarakter ilahi, dengan perspektif lokal dan wawasan global.</w:t>
      </w:r>
    </w:p>
    <w:p>
      <w:pPr>
        <w:pStyle w:val="ListParagraph"/>
        <w:numPr>
          <w:ilvl w:val="0"/>
          <w:numId w:val="4"/>
        </w:numPr>
        <w:spacing w:after="120" w:line="300"/>
        <w:jc w:val="both"/>
      </w:pPr>
      <w:r>
        <w:rPr>
          <w:sz w:val="22"/>
          <w:szCs w:val="22"/>
        </w:rPr>
        <w:t xml:space="preserve">Mengembangkan penelitian yang inovatif dan relevan serta berkontribusi bagi bangsa dan dunia.</w:t>
      </w:r>
    </w:p>
    <w:p>
      <w:pPr>
        <w:pStyle w:val="ListParagraph"/>
        <w:numPr>
          <w:ilvl w:val="0"/>
          <w:numId w:val="4"/>
        </w:numPr>
        <w:spacing w:after="120" w:line="300"/>
        <w:jc w:val="both"/>
      </w:pPr>
      <w:r>
        <w:rPr>
          <w:sz w:val="22"/>
          <w:szCs w:val="22"/>
        </w:rPr>
        <w:t xml:space="preserve">Melaksanakan pengabdian kepada masyarakat sebagai wujud pelayanan kasih dan tanggung jawab sosial.</w:t>
      </w:r>
    </w:p>
    <w:p>
      <w:pPr>
        <w:pStyle w:val="ListParagraph"/>
        <w:numPr>
          <w:ilvl w:val="0"/>
          <w:numId w:val="4"/>
        </w:numPr>
        <w:spacing w:after="120" w:line="300"/>
        <w:jc w:val="both"/>
      </w:pPr>
      <w:r>
        <w:rPr>
          <w:sz w:val="22"/>
          <w:szCs w:val="22"/>
        </w:rPr>
        <w:t xml:space="preserve">Membangun lingkungan akademik yang berlandaskan nilai-nilai ilahi, etika, dan profesionalisme.</w:t>
      </w:r>
    </w:p>
    <w:p>
      <w:pPr>
        <w:pStyle w:val="ListParagraph"/>
        <w:numPr>
          <w:ilvl w:val="0"/>
          <w:numId w:val="4"/>
        </w:numPr>
        <w:spacing w:after="120" w:line="300"/>
        <w:jc w:val="both"/>
      </w:pPr>
      <w:r>
        <w:rPr>
          <w:sz w:val="22"/>
          <w:szCs w:val="22"/>
        </w:rPr>
        <w:t xml:space="preserve">Menguatkan tata kelola universitas yang transparan, akuntabel, efektif, dan berkelanjutan.</w:t>
      </w:r>
    </w:p>
    <w:p>
      <w:pPr>
        <w:pStyle w:val="ListParagraph"/>
        <w:numPr>
          <w:ilvl w:val="0"/>
          <w:numId w:val="4"/>
        </w:numPr>
        <w:spacing w:after="120" w:line="300"/>
        <w:jc w:val="both"/>
      </w:pPr>
      <w:r>
        <w:rPr>
          <w:sz w:val="22"/>
          <w:szCs w:val="22"/>
        </w:rPr>
        <w:t xml:space="preserve">Menjalin kerja sama strategis nasional dan internasional untuk meningkatkan daya saing.</w:t>
      </w:r>
    </w:p>
    <w:p>
      <w:pPr>
        <w:pStyle w:val="Heading1"/>
        <w:spacing w:after="200" w:before="360"/>
      </w:pPr>
      <w:r>
        <w:rPr>
          <w:b/>
          <w:bCs/>
          <w:color w:val="1F3864"/>
          <w:sz w:val="28"/>
          <w:szCs w:val="28"/>
        </w:rPr>
        <w:t xml:space="preserve">5. TUJUAN</w:t>
      </w:r>
    </w:p>
    <w:p>
      <w:pPr>
        <w:spacing w:after="160" w:line="300"/>
        <w:jc w:val="both"/>
      </w:pPr>
      <w:r>
        <w:rPr>
          <w:i w:val="false"/>
          <w:iCs w:val="false"/>
          <w:sz w:val="22"/>
          <w:szCs w:val="22"/>
        </w:rPr>
        <w:t xml:space="preserve">Dalam rangka mencapai Visi dan mengemban Misi, Universitas Advent Surya Nusantara menetapkan Tujuan sebagai berikut (selaras satu-ke-satu dengan Misi di atas):</w:t>
      </w:r>
    </w:p>
    <w:p>
      <w:pPr>
        <w:pStyle w:val="ListParagraph"/>
        <w:numPr>
          <w:ilvl w:val="0"/>
          <w:numId w:val="5"/>
        </w:numPr>
        <w:spacing w:after="120" w:line="300"/>
        <w:jc w:val="both"/>
      </w:pPr>
      <w:r>
        <w:rPr>
          <w:sz w:val="22"/>
          <w:szCs w:val="22"/>
        </w:rPr>
        <w:t xml:space="preserve">Menghasilkan lulusan unggul dalam iman dan ilmu, berkarakter ilahi, berperspektif lokal dan berwawasan global.</w:t>
      </w:r>
    </w:p>
    <w:p>
      <w:pPr>
        <w:pStyle w:val="ListParagraph"/>
        <w:numPr>
          <w:ilvl w:val="0"/>
          <w:numId w:val="5"/>
        </w:numPr>
        <w:spacing w:after="120" w:line="300"/>
        <w:jc w:val="both"/>
      </w:pPr>
      <w:r>
        <w:rPr>
          <w:sz w:val="22"/>
          <w:szCs w:val="22"/>
        </w:rPr>
        <w:t xml:space="preserve">Terlaksananya penelitian inovatif dan relevan yang berkontribusi bagi bangsa dan dunia.</w:t>
      </w:r>
    </w:p>
    <w:p>
      <w:pPr>
        <w:pStyle w:val="ListParagraph"/>
        <w:numPr>
          <w:ilvl w:val="0"/>
          <w:numId w:val="5"/>
        </w:numPr>
        <w:spacing w:after="120" w:line="300"/>
        <w:jc w:val="both"/>
      </w:pPr>
      <w:r>
        <w:rPr>
          <w:sz w:val="22"/>
          <w:szCs w:val="22"/>
        </w:rPr>
        <w:t xml:space="preserve">Terciptanya pengabdian kepada masyarakat sebagai pelayanan kasih dan tanggung jawab sosial.</w:t>
      </w:r>
    </w:p>
    <w:p>
      <w:pPr>
        <w:pStyle w:val="ListParagraph"/>
        <w:numPr>
          <w:ilvl w:val="0"/>
          <w:numId w:val="5"/>
        </w:numPr>
        <w:spacing w:after="120" w:line="300"/>
        <w:jc w:val="both"/>
      </w:pPr>
      <w:r>
        <w:rPr>
          <w:sz w:val="22"/>
          <w:szCs w:val="22"/>
        </w:rPr>
        <w:t xml:space="preserve">Terwujudnya lingkungan akademik yang berlandaskan nilai-nilai ilahi, etika, dan profesionalisme.</w:t>
      </w:r>
    </w:p>
    <w:p>
      <w:pPr>
        <w:pStyle w:val="ListParagraph"/>
        <w:numPr>
          <w:ilvl w:val="0"/>
          <w:numId w:val="5"/>
        </w:numPr>
        <w:spacing w:after="120" w:line="300"/>
        <w:jc w:val="both"/>
      </w:pPr>
      <w:r>
        <w:rPr>
          <w:sz w:val="22"/>
          <w:szCs w:val="22"/>
        </w:rPr>
        <w:t xml:space="preserve">Terselenggaranya tata kelola universitas yang transparan, akuntabel, efektif, dan berkelanjutan.</w:t>
      </w:r>
    </w:p>
    <w:p>
      <w:pPr>
        <w:pStyle w:val="ListParagraph"/>
        <w:numPr>
          <w:ilvl w:val="0"/>
          <w:numId w:val="5"/>
        </w:numPr>
        <w:spacing w:after="120" w:line="300"/>
        <w:jc w:val="both"/>
      </w:pPr>
      <w:r>
        <w:rPr>
          <w:sz w:val="22"/>
          <w:szCs w:val="22"/>
        </w:rPr>
        <w:t xml:space="preserve">Terjalinnya kerja sama strategis nasional dan internasional untuk daya saing.</w:t>
      </w:r>
    </w:p>
    <w:p>
      <w:pPr>
        <w:pStyle w:val="Heading1"/>
        <w:spacing w:after="200" w:before="360"/>
      </w:pPr>
      <w:r>
        <w:rPr>
          <w:b/>
          <w:bCs/>
          <w:color w:val="1F3864"/>
          <w:sz w:val="28"/>
          <w:szCs w:val="28"/>
        </w:rPr>
        <w:t xml:space="preserve">6. SASARAN STRATEGIS</w:t>
      </w:r>
    </w:p>
    <w:p>
      <w:pPr>
        <w:spacing w:after="160" w:line="300"/>
        <w:jc w:val="both"/>
      </w:pPr>
      <w:r>
        <w:rPr>
          <w:i w:val="false"/>
          <w:iCs w:val="false"/>
          <w:sz w:val="22"/>
          <w:szCs w:val="22"/>
        </w:rPr>
        <w:t xml:space="preserve">Sasaran strategis merupakan target antara yang terukur dalam mendukung pencapaian Tujuan UASN periode 2025-2029, meliputi:</w:t>
      </w:r>
    </w:p>
    <w:p>
      <w:pPr>
        <w:pStyle w:val="ListParagraph"/>
        <w:numPr>
          <w:ilvl w:val="0"/>
          <w:numId w:val="6"/>
        </w:numPr>
        <w:spacing w:after="120" w:line="300"/>
        <w:jc w:val="both"/>
      </w:pPr>
      <w:r>
        <w:rPr>
          <w:sz w:val="22"/>
          <w:szCs w:val="22"/>
        </w:rPr>
        <w:t xml:space="preserve">Menghasilkan lulusan yang bermoral, beretika, profesional dan kompetitif di tingkat regional secara kualitatif sehingga mampu bersaing secara regional dan sesuai dengan perubahan zaman.</w:t>
      </w:r>
    </w:p>
    <w:p>
      <w:pPr>
        <w:pStyle w:val="ListParagraph"/>
        <w:numPr>
          <w:ilvl w:val="0"/>
          <w:numId w:val="6"/>
        </w:numPr>
        <w:spacing w:after="120" w:line="300"/>
        <w:jc w:val="both"/>
      </w:pPr>
      <w:r>
        <w:rPr>
          <w:sz w:val="22"/>
          <w:szCs w:val="22"/>
        </w:rPr>
        <w:t xml:space="preserve">Memperoleh pengakuan regional pada tahun 2027.</w:t>
      </w:r>
    </w:p>
    <w:p>
      <w:pPr>
        <w:pStyle w:val="ListParagraph"/>
        <w:numPr>
          <w:ilvl w:val="0"/>
          <w:numId w:val="6"/>
        </w:numPr>
        <w:spacing w:after="120" w:line="300"/>
        <w:jc w:val="both"/>
      </w:pPr>
      <w:r>
        <w:rPr>
          <w:sz w:val="22"/>
          <w:szCs w:val="22"/>
        </w:rPr>
        <w:t xml:space="preserve">Meningkatnya kualitas Tridharma Universitas Advent Surya Nusantara.</w:t>
      </w:r>
    </w:p>
    <w:p>
      <w:pPr>
        <w:pStyle w:val="ListParagraph"/>
        <w:numPr>
          <w:ilvl w:val="0"/>
          <w:numId w:val="6"/>
        </w:numPr>
        <w:spacing w:after="120" w:line="300"/>
        <w:jc w:val="both"/>
      </w:pPr>
      <w:r>
        <w:rPr>
          <w:sz w:val="22"/>
          <w:szCs w:val="22"/>
        </w:rPr>
        <w:t xml:space="preserve">Terlaksananya tata kelola yang efektif dan efisien, terbuka dan bertanggung jawab.</w:t>
      </w:r>
    </w:p>
    <w:p>
      <w:pPr>
        <w:spacing w:after="160" w:line="300"/>
        <w:jc w:val="both"/>
      </w:pPr>
      <w:r>
        <w:rPr>
          <w:i w:val="false"/>
          <w:iCs w:val="false"/>
          <w:sz w:val="22"/>
          <w:szCs w:val="22"/>
        </w:rPr>
        <w:t xml:space="preserve">Sasaran strategis di atas dijabarkan lebih lanjut ke dalam Indikator Kinerja Utama (IKU) dan Indikator Kinerja Tambahan (IKT) sebagaimana diatur dalam dokumen Renstra UASN 2025-2029 Bab IV.</w:t>
      </w:r>
    </w:p>
    <w:p>
      <w:pPr>
        <w:pStyle w:val="Heading1"/>
        <w:spacing w:after="200" w:before="360"/>
      </w:pPr>
      <w:r>
        <w:rPr>
          <w:b/>
          <w:bCs/>
          <w:color w:val="1F3864"/>
          <w:sz w:val="28"/>
          <w:szCs w:val="28"/>
        </w:rPr>
        <w:t xml:space="preserve">7. TEMA RENSTRA DAN KETERKAITAN DENGAN PETA JALAN JANGKA PANJANG</w:t>
      </w:r>
    </w:p>
    <w:p>
      <w:pPr>
        <w:spacing w:after="160" w:line="300"/>
        <w:jc w:val="both"/>
      </w:pPr>
      <w:r>
        <w:rPr>
          <w:i w:val="false"/>
          <w:iCs w:val="false"/>
          <w:sz w:val="22"/>
          <w:szCs w:val="22"/>
        </w:rPr>
        <w:t xml:space="preserve">Tema Renstra UASN 2025-2029 adalah “Eksplorasi Tanpa Batas dengan Ilmu Pengetahuan”, dengan fokus penguatan universitas berbasis pembelajaran (Excellence Teaching University/ETU). Tema ini merupakan penjabaran operasional dari Visi UASN pada tahap pertama Peta Jalan (Roadmap) pengembangan jangka panjang 2025-2044, sebagai berikut: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5350"/>
      </w:tblGrid>
      <w:tr>
        <w:trPr>
          <w:tblHeader/>
        </w:trPr>
        <w:tc>
          <w:tcPr>
            <w:tcW w:type="dxa" w:w="2000"/>
            <w:shd w:fill="1F3864" w:val="clear"/>
            <w:tcMar>
              <w:top w:type="dxa" w:w="80"/>
              <w:left w:type="dxa" w:w="120"/>
              <w:bottom w:type="dxa" w:w="80"/>
              <w:right w:type="dxa" w:w="120"/>
            </w:tcMar>
            <w:vAlign w:val="center"/>
          </w:tcPr>
          <w:p>
            <w:pPr>
              <w:spacing w:after="40" w:line="276"/>
              <w:jc w:val="left"/>
            </w:pPr>
            <w:r>
              <w:rPr>
                <w:b/>
                <w:bCs/>
                <w:color w:val="FFFFFF"/>
                <w:sz w:val="20"/>
                <w:szCs w:val="20"/>
              </w:rPr>
              <w:t xml:space="preserve">Periode</w:t>
            </w:r>
          </w:p>
        </w:tc>
        <w:tc>
          <w:tcPr>
            <w:tcW w:type="dxa" w:w="2000"/>
            <w:shd w:fill="1F3864" w:val="clear"/>
            <w:tcMar>
              <w:top w:type="dxa" w:w="80"/>
              <w:left w:type="dxa" w:w="120"/>
              <w:bottom w:type="dxa" w:w="80"/>
              <w:right w:type="dxa" w:w="120"/>
            </w:tcMar>
            <w:vAlign w:val="center"/>
          </w:tcPr>
          <w:p>
            <w:pPr>
              <w:spacing w:after="40" w:line="276"/>
              <w:jc w:val="left"/>
            </w:pPr>
            <w:r>
              <w:rPr>
                <w:b/>
                <w:bCs/>
                <w:color w:val="FFFFFF"/>
                <w:sz w:val="20"/>
                <w:szCs w:val="20"/>
              </w:rPr>
              <w:t xml:space="preserve">Tahapan</w:t>
            </w:r>
          </w:p>
        </w:tc>
        <w:tc>
          <w:tcPr>
            <w:tcW w:type="dxa" w:w="5350"/>
            <w:shd w:fill="1F3864" w:val="clear"/>
            <w:tcMar>
              <w:top w:type="dxa" w:w="80"/>
              <w:left w:type="dxa" w:w="120"/>
              <w:bottom w:type="dxa" w:w="80"/>
              <w:right w:type="dxa" w:w="120"/>
            </w:tcMar>
            <w:vAlign w:val="center"/>
          </w:tcPr>
          <w:p>
            <w:pPr>
              <w:spacing w:after="40" w:line="276"/>
              <w:jc w:val="left"/>
            </w:pPr>
            <w:r>
              <w:rPr>
                <w:b/>
                <w:bCs/>
                <w:color w:val="FFFFFF"/>
                <w:sz w:val="20"/>
                <w:szCs w:val="20"/>
              </w:rPr>
              <w:t xml:space="preserve">Fokus Pengembangan</w:t>
            </w:r>
          </w:p>
        </w:tc>
      </w:tr>
      <w:tr>
        <w:tc>
          <w:tcPr>
            <w:tcW w:type="dxa" w:w="2000"/>
            <w:tcMar>
              <w:top w:type="dxa" w:w="80"/>
              <w:left w:type="dxa" w:w="120"/>
              <w:bottom w:type="dxa" w:w="80"/>
              <w:right w:type="dxa" w:w="120"/>
            </w:tcMar>
            <w:vAlign w:val="center"/>
          </w:tcPr>
          <w:p>
            <w:pPr>
              <w:spacing w:after="40" w:line="276"/>
              <w:jc w:val="left"/>
            </w:pPr>
            <w:r>
              <w:rPr>
                <w:b/>
                <w:bCs/>
                <w:sz w:val="20"/>
                <w:szCs w:val="20"/>
              </w:rPr>
              <w:t xml:space="preserve">2025-2029</w:t>
            </w:r>
          </w:p>
        </w:tc>
        <w:tc>
          <w:tcPr>
            <w:tcW w:type="dxa" w:w="2000"/>
            <w:tcMar>
              <w:top w:type="dxa" w:w="80"/>
              <w:left w:type="dxa" w:w="120"/>
              <w:bottom w:type="dxa" w:w="80"/>
              <w:right w:type="dxa" w:w="120"/>
            </w:tcMar>
            <w:vAlign w:val="center"/>
          </w:tcPr>
          <w:p>
            <w:pPr>
              <w:spacing w:after="40" w:line="276"/>
              <w:jc w:val="left"/>
            </w:pPr>
            <w:r>
              <w:rPr>
                <w:b w:val="false"/>
                <w:bCs w:val="false"/>
                <w:sz w:val="20"/>
                <w:szCs w:val="20"/>
              </w:rPr>
              <w:t xml:space="preserve">Teaching University</w:t>
            </w:r>
          </w:p>
        </w:tc>
        <w:tc>
          <w:tcPr>
            <w:tcW w:type="dxa" w:w="5350"/>
            <w:tcMar>
              <w:top w:type="dxa" w:w="80"/>
              <w:left w:type="dxa" w:w="120"/>
              <w:bottom w:type="dxa" w:w="80"/>
              <w:right w:type="dxa" w:w="120"/>
            </w:tcMar>
            <w:vAlign w:val="center"/>
          </w:tcPr>
          <w:p>
            <w:pPr>
              <w:spacing w:after="40" w:line="276"/>
              <w:jc w:val="left"/>
            </w:pPr>
            <w:r>
              <w:rPr>
                <w:b w:val="false"/>
                <w:bCs w:val="false"/>
                <w:sz w:val="20"/>
                <w:szCs w:val="20"/>
              </w:rPr>
              <w:t xml:space="preserve">Penguatan kualitas pembelajaran (well-designed, well delivered, inclusive and ethical, reflecting and evolving)</w:t>
            </w:r>
          </w:p>
        </w:tc>
      </w:tr>
      <w:tr>
        <w:tc>
          <w:tcPr>
            <w:tcW w:type="dxa" w:w="2000"/>
            <w:tcMar>
              <w:top w:type="dxa" w:w="80"/>
              <w:left w:type="dxa" w:w="120"/>
              <w:bottom w:type="dxa" w:w="80"/>
              <w:right w:type="dxa" w:w="120"/>
            </w:tcMar>
            <w:vAlign w:val="center"/>
          </w:tcPr>
          <w:p>
            <w:pPr>
              <w:spacing w:after="40" w:line="276"/>
              <w:jc w:val="left"/>
            </w:pPr>
            <w:r>
              <w:rPr>
                <w:b w:val="false"/>
                <w:bCs w:val="false"/>
                <w:sz w:val="20"/>
                <w:szCs w:val="20"/>
              </w:rPr>
              <w:t xml:space="preserve">2030-2034</w:t>
            </w:r>
          </w:p>
        </w:tc>
        <w:tc>
          <w:tcPr>
            <w:tcW w:type="dxa" w:w="2000"/>
            <w:tcMar>
              <w:top w:type="dxa" w:w="80"/>
              <w:left w:type="dxa" w:w="120"/>
              <w:bottom w:type="dxa" w:w="80"/>
              <w:right w:type="dxa" w:w="120"/>
            </w:tcMar>
            <w:vAlign w:val="center"/>
          </w:tcPr>
          <w:p>
            <w:pPr>
              <w:spacing w:after="40" w:line="276"/>
              <w:jc w:val="left"/>
            </w:pPr>
            <w:r>
              <w:rPr>
                <w:b w:val="false"/>
                <w:bCs w:val="false"/>
                <w:sz w:val="20"/>
                <w:szCs w:val="20"/>
              </w:rPr>
              <w:t xml:space="preserve">Excellent Teaching University</w:t>
            </w:r>
          </w:p>
        </w:tc>
        <w:tc>
          <w:tcPr>
            <w:tcW w:type="dxa" w:w="5350"/>
            <w:tcMar>
              <w:top w:type="dxa" w:w="80"/>
              <w:left w:type="dxa" w:w="120"/>
              <w:bottom w:type="dxa" w:w="80"/>
              <w:right w:type="dxa" w:w="120"/>
            </w:tcMar>
            <w:vAlign w:val="center"/>
          </w:tcPr>
          <w:p>
            <w:pPr>
              <w:spacing w:after="40" w:line="276"/>
              <w:jc w:val="left"/>
            </w:pPr>
            <w:r>
              <w:rPr>
                <w:b w:val="false"/>
                <w:bCs w:val="false"/>
                <w:sz w:val="20"/>
                <w:szCs w:val="20"/>
              </w:rPr>
              <w:t xml:space="preserve">Penguatan lanjutan universitas berbasis pembelajaran unggul</w:t>
            </w:r>
          </w:p>
        </w:tc>
      </w:tr>
      <w:tr>
        <w:tc>
          <w:tcPr>
            <w:tcW w:type="dxa" w:w="2000"/>
            <w:tcMar>
              <w:top w:type="dxa" w:w="80"/>
              <w:left w:type="dxa" w:w="120"/>
              <w:bottom w:type="dxa" w:w="80"/>
              <w:right w:type="dxa" w:w="120"/>
            </w:tcMar>
            <w:vAlign w:val="center"/>
          </w:tcPr>
          <w:p>
            <w:pPr>
              <w:spacing w:after="40" w:line="276"/>
              <w:jc w:val="left"/>
            </w:pPr>
            <w:r>
              <w:rPr>
                <w:b w:val="false"/>
                <w:bCs w:val="false"/>
                <w:sz w:val="20"/>
                <w:szCs w:val="20"/>
              </w:rPr>
              <w:t xml:space="preserve">2035-2039</w:t>
            </w:r>
          </w:p>
        </w:tc>
        <w:tc>
          <w:tcPr>
            <w:tcW w:type="dxa" w:w="2000"/>
            <w:tcMar>
              <w:top w:type="dxa" w:w="80"/>
              <w:left w:type="dxa" w:w="120"/>
              <w:bottom w:type="dxa" w:w="80"/>
              <w:right w:type="dxa" w:w="120"/>
            </w:tcMar>
            <w:vAlign w:val="center"/>
          </w:tcPr>
          <w:p>
            <w:pPr>
              <w:spacing w:after="40" w:line="276"/>
              <w:jc w:val="left"/>
            </w:pPr>
            <w:r>
              <w:rPr>
                <w:b w:val="false"/>
                <w:bCs w:val="false"/>
                <w:sz w:val="20"/>
                <w:szCs w:val="20"/>
              </w:rPr>
              <w:t xml:space="preserve">Pre-Research University</w:t>
            </w:r>
          </w:p>
        </w:tc>
        <w:tc>
          <w:tcPr>
            <w:tcW w:type="dxa" w:w="5350"/>
            <w:tcMar>
              <w:top w:type="dxa" w:w="80"/>
              <w:left w:type="dxa" w:w="120"/>
              <w:bottom w:type="dxa" w:w="80"/>
              <w:right w:type="dxa" w:w="120"/>
            </w:tcMar>
            <w:vAlign w:val="center"/>
          </w:tcPr>
          <w:p>
            <w:pPr>
              <w:spacing w:after="40" w:line="276"/>
              <w:jc w:val="left"/>
            </w:pPr>
            <w:r>
              <w:rPr>
                <w:b w:val="false"/>
                <w:bCs w:val="false"/>
                <w:sz w:val="20"/>
                <w:szCs w:val="20"/>
              </w:rPr>
              <w:t xml:space="preserve">Persiapan penguatan riset kelembagaan</w:t>
            </w:r>
          </w:p>
        </w:tc>
      </w:tr>
      <w:tr>
        <w:tc>
          <w:tcPr>
            <w:tcW w:type="dxa" w:w="2000"/>
            <w:tcMar>
              <w:top w:type="dxa" w:w="80"/>
              <w:left w:type="dxa" w:w="120"/>
              <w:bottom w:type="dxa" w:w="80"/>
              <w:right w:type="dxa" w:w="120"/>
            </w:tcMar>
            <w:vAlign w:val="center"/>
          </w:tcPr>
          <w:p>
            <w:pPr>
              <w:spacing w:after="40" w:line="276"/>
              <w:jc w:val="left"/>
            </w:pPr>
            <w:r>
              <w:rPr>
                <w:b w:val="false"/>
                <w:bCs w:val="false"/>
                <w:sz w:val="20"/>
                <w:szCs w:val="20"/>
              </w:rPr>
              <w:t xml:space="preserve">2040-2044</w:t>
            </w:r>
          </w:p>
        </w:tc>
        <w:tc>
          <w:tcPr>
            <w:tcW w:type="dxa" w:w="2000"/>
            <w:tcMar>
              <w:top w:type="dxa" w:w="80"/>
              <w:left w:type="dxa" w:w="120"/>
              <w:bottom w:type="dxa" w:w="80"/>
              <w:right w:type="dxa" w:w="120"/>
            </w:tcMar>
            <w:vAlign w:val="center"/>
          </w:tcPr>
          <w:p>
            <w:pPr>
              <w:spacing w:after="40" w:line="276"/>
              <w:jc w:val="left"/>
            </w:pPr>
            <w:r>
              <w:rPr>
                <w:b w:val="false"/>
                <w:bCs w:val="false"/>
                <w:sz w:val="20"/>
                <w:szCs w:val="20"/>
              </w:rPr>
              <w:t xml:space="preserve">Research University</w:t>
            </w:r>
          </w:p>
        </w:tc>
        <w:tc>
          <w:tcPr>
            <w:tcW w:type="dxa" w:w="5350"/>
            <w:tcMar>
              <w:top w:type="dxa" w:w="80"/>
              <w:left w:type="dxa" w:w="120"/>
              <w:bottom w:type="dxa" w:w="80"/>
              <w:right w:type="dxa" w:w="120"/>
            </w:tcMar>
            <w:vAlign w:val="center"/>
          </w:tcPr>
          <w:p>
            <w:pPr>
              <w:spacing w:after="40" w:line="276"/>
              <w:jc w:val="left"/>
            </w:pPr>
            <w:r>
              <w:rPr>
                <w:b w:val="false"/>
                <w:bCs w:val="false"/>
                <w:sz w:val="20"/>
                <w:szCs w:val="20"/>
              </w:rPr>
              <w:t xml:space="preserve">Penguatan luaran dan reputasi riset</w:t>
            </w:r>
          </w:p>
        </w:tc>
      </w:tr>
      <w:tr>
        <w:tc>
          <w:tcPr>
            <w:tcW w:type="dxa" w:w="2000"/>
            <w:tcMar>
              <w:top w:type="dxa" w:w="80"/>
              <w:left w:type="dxa" w:w="120"/>
              <w:bottom w:type="dxa" w:w="80"/>
              <w:right w:type="dxa" w:w="120"/>
            </w:tcMar>
            <w:vAlign w:val="center"/>
          </w:tcPr>
          <w:p>
            <w:pPr>
              <w:spacing w:after="40" w:line="276"/>
              <w:jc w:val="left"/>
            </w:pPr>
            <w:r>
              <w:rPr>
                <w:b w:val="false"/>
                <w:bCs w:val="false"/>
                <w:sz w:val="20"/>
                <w:szCs w:val="20"/>
              </w:rPr>
              <w:t xml:space="preserve">2045</w:t>
            </w:r>
          </w:p>
        </w:tc>
        <w:tc>
          <w:tcPr>
            <w:tcW w:type="dxa" w:w="2000"/>
            <w:tcMar>
              <w:top w:type="dxa" w:w="80"/>
              <w:left w:type="dxa" w:w="120"/>
              <w:bottom w:type="dxa" w:w="80"/>
              <w:right w:type="dxa" w:w="120"/>
            </w:tcMar>
            <w:vAlign w:val="center"/>
          </w:tcPr>
          <w:p>
            <w:pPr>
              <w:spacing w:after="40" w:line="276"/>
              <w:jc w:val="left"/>
            </w:pPr>
            <w:r>
              <w:rPr>
                <w:b w:val="false"/>
                <w:bCs w:val="false"/>
                <w:sz w:val="20"/>
                <w:szCs w:val="20"/>
              </w:rPr>
              <w:t xml:space="preserve">Entrepreneurial University / World Class University</w:t>
            </w:r>
          </w:p>
        </w:tc>
        <w:tc>
          <w:tcPr>
            <w:tcW w:type="dxa" w:w="5350"/>
            <w:tcMar>
              <w:top w:type="dxa" w:w="80"/>
              <w:left w:type="dxa" w:w="120"/>
              <w:bottom w:type="dxa" w:w="80"/>
              <w:right w:type="dxa" w:w="120"/>
            </w:tcMar>
            <w:vAlign w:val="center"/>
          </w:tcPr>
          <w:p>
            <w:pPr>
              <w:spacing w:after="40" w:line="276"/>
              <w:jc w:val="left"/>
            </w:pPr>
            <w:r>
              <w:rPr>
                <w:b w:val="false"/>
                <w:bCs w:val="false"/>
                <w:sz w:val="20"/>
                <w:szCs w:val="20"/>
              </w:rPr>
              <w:t xml:space="preserve">Pencapaian visi jangka panjang sebagai universitas berkelas dunia</w:t>
            </w:r>
          </w:p>
        </w:tc>
      </w:tr>
    </w:tbl>
    <w:p>
      <w:pPr>
        <w:spacing w:after="160"/>
      </w:pPr>
    </w:p>
    <w:p>
      <w:pPr>
        <w:pStyle w:val="Heading1"/>
        <w:spacing w:after="200" w:before="360"/>
      </w:pPr>
      <w:r>
        <w:rPr>
          <w:b/>
          <w:bCs/>
          <w:color w:val="1F3864"/>
          <w:sz w:val="28"/>
          <w:szCs w:val="28"/>
        </w:rPr>
        <w:t xml:space="preserve">8. MEKANISME PENURUNAN VMTS KE TINGKAT FAKULTAS DAN PROGRAM STUDI</w:t>
      </w:r>
    </w:p>
    <w:p>
      <w:pPr>
        <w:spacing w:after="160" w:line="300"/>
        <w:jc w:val="both"/>
      </w:pPr>
      <w:r>
        <w:rPr>
          <w:i w:val="false"/>
          <w:iCs w:val="false"/>
          <w:sz w:val="22"/>
          <w:szCs w:val="22"/>
        </w:rPr>
        <w:t xml:space="preserve">Guna menjamin keselarasan (alignment) antara VMTS Universitas dengan VMTS Fakultas serta visi-misi keilmuan Program Studi, ditetapkan mekanisme sebagai berikut:</w:t>
      </w:r>
    </w:p>
    <w:p>
      <w:pPr>
        <w:pStyle w:val="Heading2"/>
        <w:spacing w:after="160" w:before="280"/>
      </w:pPr>
      <w:r>
        <w:rPr>
          <w:b/>
          <w:bCs/>
          <w:color w:val="1F3864"/>
          <w:sz w:val="24"/>
          <w:szCs w:val="24"/>
        </w:rPr>
        <w:t xml:space="preserve">8.1 Prinsip Penurunan</w:t>
      </w:r>
    </w:p>
    <w:p>
      <w:pPr>
        <w:pStyle w:val="ListParagraph"/>
        <w:numPr>
          <w:ilvl w:val="0"/>
          <w:numId w:val="3"/>
        </w:numPr>
        <w:spacing w:after="100" w:line="300"/>
        <w:jc w:val="both"/>
      </w:pPr>
      <w:r>
        <w:rPr>
          <w:sz w:val="22"/>
          <w:szCs w:val="22"/>
        </w:rPr>
        <w:t xml:space="preserve">VMTS Fakultas dan visi-misi keilmuan Program Studi wajib merupakan turunan langsung yang konsisten dan tidak bertentangan dengan VMTS Universitas sebagaimana tercantum dalam dokumen ini.</w:t>
      </w:r>
    </w:p>
    <w:p>
      <w:pPr>
        <w:pStyle w:val="ListParagraph"/>
        <w:numPr>
          <w:ilvl w:val="0"/>
          <w:numId w:val="3"/>
        </w:numPr>
        <w:spacing w:after="100" w:line="300"/>
        <w:jc w:val="both"/>
      </w:pPr>
      <w:r>
        <w:rPr>
          <w:sz w:val="22"/>
          <w:szCs w:val="22"/>
        </w:rPr>
        <w:t xml:space="preserve">Penjabaran VMTS di tingkat Fakultas/Program Studi dapat memuat kekhususan bidang keilmuan, namun tetap harus dapat ditelusuri (traceable) keterkaitannya terhadap Visi, Misi, Tujuan, dan Sasaran Strategis Universitas.</w:t>
      </w:r>
    </w:p>
    <w:p>
      <w:pPr>
        <w:pStyle w:val="ListParagraph"/>
        <w:numPr>
          <w:ilvl w:val="0"/>
          <w:numId w:val="3"/>
        </w:numPr>
        <w:spacing w:after="100" w:line="300"/>
        <w:jc w:val="both"/>
      </w:pPr>
      <w:r>
        <w:rPr>
          <w:sz w:val="22"/>
          <w:szCs w:val="22"/>
        </w:rPr>
        <w:t xml:space="preserve">Renstra Fakultas dan Program Studi disusun dengan menjadikan dokumen Renstra Universitas dan Dokumen VMTS Rujukan ini sebagai acuan utama.</w:t>
      </w:r>
    </w:p>
    <w:p>
      <w:pPr>
        <w:pStyle w:val="Heading2"/>
        <w:spacing w:after="160" w:before="280"/>
      </w:pPr>
      <w:r>
        <w:rPr>
          <w:b/>
          <w:bCs/>
          <w:color w:val="1F3864"/>
          <w:sz w:val="24"/>
          <w:szCs w:val="24"/>
        </w:rPr>
        <w:t xml:space="preserve">8.2 Evaluasi Kesesuaian</w:t>
      </w:r>
    </w:p>
    <w:p>
      <w:pPr>
        <w:spacing w:after="160" w:line="300"/>
        <w:jc w:val="both"/>
      </w:pPr>
      <w:r>
        <w:rPr>
          <w:i w:val="false"/>
          <w:iCs w:val="false"/>
          <w:sz w:val="22"/>
          <w:szCs w:val="22"/>
        </w:rPr>
        <w:t xml:space="preserve">Evaluasi kesesuaian VMTS Fakultas terhadap VMTS Universitas dan visi-misi keilmuan Program Studi dilaksanakan setiap tahun oleh Lembaga Pengembangan Pendidikan dan Penjaminan Mutu (LP3M), sebagaimana diatur dalam Program Kerja UASN (Renstra 2025-2029, Bab IV butir C.1). Hasil evaluasi dituangkan dalam Laporan Evaluasi Kesesuaian VMTS yang disampaikan kepada Rektor.</w:t>
      </w:r>
    </w:p>
    <w:p>
      <w:pPr>
        <w:pStyle w:val="Heading1"/>
        <w:spacing w:after="200" w:before="360"/>
      </w:pPr>
      <w:r>
        <w:rPr>
          <w:b/>
          <w:bCs/>
          <w:color w:val="1F3864"/>
          <w:sz w:val="28"/>
          <w:szCs w:val="28"/>
        </w:rPr>
        <w:t xml:space="preserve">9. SOSIALISASI DAN KETERAKSESAN DOKUMEN</w:t>
      </w:r>
    </w:p>
    <w:p>
      <w:pPr>
        <w:spacing w:after="160" w:line="300"/>
        <w:jc w:val="both"/>
      </w:pPr>
      <w:r>
        <w:rPr>
          <w:i w:val="false"/>
          <w:iCs w:val="false"/>
          <w:sz w:val="22"/>
          <w:szCs w:val="22"/>
        </w:rPr>
        <w:t xml:space="preserve">Agar VMTS dipahami dan dihayati oleh seluruh pemangku kepentingan, dilakukan sosialisasi melalui:</w:t>
      </w:r>
    </w:p>
    <w:p>
      <w:pPr>
        <w:pStyle w:val="ListParagraph"/>
        <w:numPr>
          <w:ilvl w:val="0"/>
          <w:numId w:val="3"/>
        </w:numPr>
        <w:spacing w:after="100" w:line="300"/>
        <w:jc w:val="both"/>
      </w:pPr>
      <w:r>
        <w:rPr>
          <w:sz w:val="22"/>
          <w:szCs w:val="22"/>
        </w:rPr>
        <w:t xml:space="preserve">Publikasi pada laman resmi (website) Universitas Advent Surya Nusantara (uasn.ac.id), dengan rumusan yang wajib identik dengan dokumen ini;</w:t>
      </w:r>
    </w:p>
    <w:p>
      <w:pPr>
        <w:pStyle w:val="ListParagraph"/>
        <w:numPr>
          <w:ilvl w:val="0"/>
          <w:numId w:val="3"/>
        </w:numPr>
        <w:spacing w:after="100" w:line="300"/>
        <w:jc w:val="both"/>
      </w:pPr>
      <w:r>
        <w:rPr>
          <w:sz w:val="22"/>
          <w:szCs w:val="22"/>
        </w:rPr>
        <w:t xml:space="preserve">Pencantuman dalam dokumen resmi universitas: Statuta, Renstra, Renop, RKAT, Panduan Akademik, dan dokumen SPMI;</w:t>
      </w:r>
    </w:p>
    <w:p>
      <w:pPr>
        <w:pStyle w:val="ListParagraph"/>
        <w:numPr>
          <w:ilvl w:val="0"/>
          <w:numId w:val="3"/>
        </w:numPr>
        <w:spacing w:after="100" w:line="300"/>
        <w:jc w:val="both"/>
      </w:pPr>
      <w:r>
        <w:rPr>
          <w:sz w:val="22"/>
          <w:szCs w:val="22"/>
        </w:rPr>
        <w:t xml:space="preserve">Sosialisasi pada kegiatan Pengenalan Kehidupan Kampus bagi Mahasiswa Baru (PKKMB);</w:t>
      </w:r>
    </w:p>
    <w:p>
      <w:pPr>
        <w:pStyle w:val="ListParagraph"/>
        <w:numPr>
          <w:ilvl w:val="0"/>
          <w:numId w:val="3"/>
        </w:numPr>
        <w:spacing w:after="100" w:line="300"/>
        <w:jc w:val="both"/>
      </w:pPr>
      <w:r>
        <w:rPr>
          <w:sz w:val="22"/>
          <w:szCs w:val="22"/>
        </w:rPr>
        <w:t xml:space="preserve">Sosialisasi kepada dosen dan tenaga kependidikan pada rapat kerja tahunan universitas dan fakultas;</w:t>
      </w:r>
    </w:p>
    <w:p>
      <w:pPr>
        <w:pStyle w:val="ListParagraph"/>
        <w:numPr>
          <w:ilvl w:val="0"/>
          <w:numId w:val="3"/>
        </w:numPr>
        <w:spacing w:after="100" w:line="300"/>
        <w:jc w:val="both"/>
      </w:pPr>
      <w:r>
        <w:rPr>
          <w:sz w:val="22"/>
          <w:szCs w:val="22"/>
        </w:rPr>
        <w:t xml:space="preserve">Pencantuman pada media publikasi fisik di lingkungan kampus (banner, buku pedoman, dan sejenisnya).</w:t>
      </w:r>
    </w:p>
    <w:p>
      <w:pPr>
        <w:spacing w:after="160" w:line="300"/>
        <w:jc w:val="both"/>
      </w:pPr>
      <w:r>
        <w:rPr>
          <w:i w:val="false"/>
          <w:iCs w:val="false"/>
          <w:sz w:val="22"/>
          <w:szCs w:val="22"/>
        </w:rPr>
        <w:t xml:space="preserve">Unit yang bertanggung jawab atas keterkinian dan konsistensi publikasi VMTS pada seluruh kanal di atas adalah Lembaga Pengembangan Pendidikan dan Penjaminan Mutu (LP3M) berkoordinasi dengan unit Hubungan Masyarakat dan Teknologi Informasi.</w:t>
      </w:r>
    </w:p>
    <w:p>
      <w:pPr>
        <w:pStyle w:val="Heading1"/>
        <w:spacing w:after="200" w:before="360"/>
      </w:pPr>
      <w:r>
        <w:rPr>
          <w:b/>
          <w:bCs/>
          <w:color w:val="1F3864"/>
          <w:sz w:val="28"/>
          <w:szCs w:val="28"/>
        </w:rPr>
        <w:t xml:space="preserve">10. MEKANISME PENINJAUAN DAN PERUBAHAN</w:t>
      </w:r>
    </w:p>
    <w:p>
      <w:pPr>
        <w:spacing w:after="160" w:line="300"/>
        <w:jc w:val="both"/>
      </w:pPr>
      <w:r>
        <w:rPr>
          <w:i w:val="false"/>
          <w:iCs w:val="false"/>
          <w:sz w:val="22"/>
          <w:szCs w:val="22"/>
        </w:rPr>
        <w:t xml:space="preserve">Dokumen VMTS Rujukan ini bersifat mengikat selama periode Renstra 2025-2029 dan dapat ditinjau kembali (direvisi) apabila:</w:t>
      </w:r>
    </w:p>
    <w:p>
      <w:pPr>
        <w:pStyle w:val="ListParagraph"/>
        <w:numPr>
          <w:ilvl w:val="0"/>
          <w:numId w:val="3"/>
        </w:numPr>
        <w:spacing w:after="100" w:line="300"/>
        <w:jc w:val="both"/>
      </w:pPr>
      <w:r>
        <w:rPr>
          <w:sz w:val="22"/>
          <w:szCs w:val="22"/>
        </w:rPr>
        <w:t xml:space="preserve">Terdapat perubahan status kelembagaan, mandat, atau perizinan penyelenggaraan pendidikan tinggi dari Kementerian yang berwenang;</w:t>
      </w:r>
    </w:p>
    <w:p>
      <w:pPr>
        <w:pStyle w:val="ListParagraph"/>
        <w:numPr>
          <w:ilvl w:val="0"/>
          <w:numId w:val="3"/>
        </w:numPr>
        <w:spacing w:after="100" w:line="300"/>
        <w:jc w:val="both"/>
      </w:pPr>
      <w:r>
        <w:rPr>
          <w:sz w:val="22"/>
          <w:szCs w:val="22"/>
        </w:rPr>
        <w:t xml:space="preserve">Hasil evaluasi tahunan oleh LP3M menunjukkan kebutuhan penyesuaian rumusan VMTS terhadap dinamika internal dan eksternal;</w:t>
      </w:r>
    </w:p>
    <w:p>
      <w:pPr>
        <w:pStyle w:val="ListParagraph"/>
        <w:numPr>
          <w:ilvl w:val="0"/>
          <w:numId w:val="3"/>
        </w:numPr>
        <w:spacing w:after="100" w:line="300"/>
        <w:jc w:val="both"/>
      </w:pPr>
      <w:r>
        <w:rPr>
          <w:sz w:val="22"/>
          <w:szCs w:val="22"/>
        </w:rPr>
        <w:t xml:space="preserve">Terdapat keputusan resmi dari Rapat Pimpinan Universitas bersama Badan Penyelenggara (GMAHK) untuk melakukan perubahan.</w:t>
      </w:r>
    </w:p>
    <w:p>
      <w:pPr>
        <w:spacing w:after="160" w:line="300"/>
        <w:jc w:val="both"/>
      </w:pPr>
      <w:r>
        <w:rPr>
          <w:i w:val="false"/>
          <w:iCs w:val="false"/>
          <w:sz w:val="22"/>
          <w:szCs w:val="22"/>
        </w:rPr>
        <w:t xml:space="preserve">Setiap perubahan VMTS wajib ditetapkan melalui Surat Keputusan Rektor dan dikonsultasikan kepada Badan Penyelenggara, serta segera disosialisasikan dan disinkronkan ke seluruh dokumen dan kanal sebagaimana diatur pada Bagian 9.</w:t>
      </w:r>
    </w:p>
    <w:p>
      <w:pPr>
        <w:pStyle w:val="Heading1"/>
        <w:spacing w:after="200" w:before="360"/>
      </w:pPr>
      <w:r>
        <w:rPr>
          <w:b/>
          <w:bCs/>
          <w:color w:val="1F3864"/>
          <w:sz w:val="28"/>
          <w:szCs w:val="28"/>
        </w:rPr>
        <w:t xml:space="preserve">11. PENUTUP</w:t>
      </w:r>
    </w:p>
    <w:p>
      <w:pPr>
        <w:spacing w:after="160" w:line="300"/>
        <w:jc w:val="both"/>
      </w:pPr>
      <w:r>
        <w:rPr>
          <w:i w:val="false"/>
          <w:iCs w:val="false"/>
          <w:sz w:val="22"/>
          <w:szCs w:val="22"/>
        </w:rPr>
        <w:t xml:space="preserve">Dokumen VMTS Rujukan ini merupakan bagian tidak terpisahkan dari Rencana Strategis Universitas Advent Surya Nusantara Tahun 2025-2029 dan menjadi acuan tunggal dan definitif bagi seluruh unit kerja, Fakultas, dan Program Studi di lingkungan Universitas Advent Surya Nusantara dalam merumuskan, menyelaraskan, dan mengevaluasi capaian Visi, Misi, Tujuan, dan Sasaran Strategis.</w:t>
      </w:r>
    </w:p>
    <w:p>
      <w:pPr>
        <w:spacing w:before="400"/>
      </w:pPr>
    </w:p>
    <w:p>
      <w:pPr>
        <w:jc w:val="right"/>
      </w:pPr>
      <w:r>
        <w:rPr>
          <w:sz w:val="22"/>
          <w:szCs w:val="22"/>
        </w:rPr>
        <w:t xml:space="preserve">Pematangsiantar, ......................... 2025</w:t>
      </w:r>
    </w:p>
    <w:p>
      <w:pPr>
        <w:spacing w:after="1200"/>
        <w:jc w:val="right"/>
      </w:pPr>
      <w:r>
        <w:rPr>
          <w:sz w:val="22"/>
          <w:szCs w:val="22"/>
        </w:rPr>
        <w:t xml:space="preserve">Rektor Universitas Advent Surya Nusantara,</w:t>
      </w:r>
    </w:p>
    <w:p>
      <w:pPr>
        <w:jc w:val="right"/>
      </w:pPr>
      <w:r>
        <w:rPr>
          <w:b/>
          <w:bCs/>
          <w:sz w:val="22"/>
          <w:szCs w:val="22"/>
          <w:u w:val="single"/>
        </w:rPr>
        <w:t xml:space="preserve">Rexon Nainggolan, S.E., M.M., M.Ak., Ph.D., CA., CPA., CFI</w:t>
      </w:r>
    </w:p>
    <w:sectPr>
      <w:headerReference w:type="default" r:id="rId7"/>
      <w:footerReference w:type="default" r:id="rId8"/>
      <w:pgSz w:w="11906" w:h="16838" w:orient="portrait"/>
      <w:pgMar w:top="1134" w:right="1134"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Halaman </w:t>
    </w:r>
    <w:r>
      <w:rPr>
        <w:color w:val="595959"/>
        <w:sz w:val="16"/>
        <w:szCs w:val="16"/>
      </w:rPr>
      <w:fldChar w:fldCharType="begin"/>
      <w:instrText xml:space="preserve">PAGE</w:instrText>
      <w:fldChar w:fldCharType="separate"/>
      <w:fldChar w:fldCharType="end"/>
    </w:r>
    <w:r>
      <w:rPr>
        <w:color w:val="595959"/>
        <w:sz w:val="16"/>
        <w:szCs w:val="16"/>
      </w:rPr>
      <w:t xml:space="preserve"> dari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jc w:val="right"/>
    </w:pPr>
    <w:r>
      <w:rPr>
        <w:i/>
        <w:iCs/>
        <w:color w:val="595959"/>
        <w:sz w:val="16"/>
        <w:szCs w:val="16"/>
      </w:rPr>
      <w:t xml:space="preserve">Dokumen VMTS Rujukan — UASN 2025-2029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abstractNum w:abstractNumId="3" w15:restartNumberingAfterBreak="0">
    <w:multiLevelType w:val="hybridMultilevel"/>
    <w:lvl w:ilvl="0" w15:tentative="1">
      <w:start w:val="1"/>
      <w:numFmt w:val="decimal"/>
      <w:lvlText w:val="%1."/>
      <w:lvlJc w:val="left"/>
      <w:pPr>
        <w:ind w:left="576" w:hanging="360"/>
      </w:pPr>
    </w:lvl>
  </w:abstractNum>
  <w:abstractNum w:abstractNumId="4" w15:restartNumberingAfterBreak="0">
    <w:multiLevelType w:val="hybridMultilevel"/>
    <w:lvl w:ilvl="0" w15:tentative="1">
      <w:start w:val="1"/>
      <w:numFmt w:val="decimal"/>
      <w:lvlText w:val="%1."/>
      <w:lvlJc w:val="left"/>
      <w:pPr>
        <w:ind w:left="576" w:hanging="360"/>
      </w:pPr>
    </w:lvl>
  </w:abstractNum>
  <w:abstractNum w:abstractNumId="5" w15:restartNumberingAfterBreak="0">
    <w:multiLevelType w:val="hybridMultilevel"/>
    <w:lvl w:ilvl="0" w15:tentative="1">
      <w:start w:val="1"/>
      <w:numFmt w:val="decimal"/>
      <w:lvlText w:val="%1."/>
      <w:lvlJc w:val="left"/>
      <w:pPr>
        <w:ind w:left="576" w:hanging="360"/>
      </w:pPr>
    </w:lvl>
  </w:abstractNum>
  <w:abstractNum w:abstractNumId="6" w15:restartNumberingAfterBreak="0">
    <w:multiLevelType w:val="hybridMultilevel"/>
    <w:lvl w:ilvl="0" w15:tentative="1">
      <w:start w:val="1"/>
      <w:numFmt w:val="decimal"/>
      <w:lvlText w:val="%1."/>
      <w:lvlJc w:val="left"/>
      <w:pPr>
        <w:ind w:left="576"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2026-08-27T23:27:05.492Z</dcterms:created>
  <dcterms:modified xsi:type="dcterms:W3CDTF">2026-08-27T23:27:05.503Z</dcterms:modified>
</cp:coreProperties>
</file>

<file path=docProps/custom.xml><?xml version="1.0" encoding="utf-8"?>
<Properties xmlns="http://schemas.openxmlformats.org/officeDocument/2006/custom-properties" xmlns:vt="http://schemas.openxmlformats.org/officeDocument/2006/docPropsVTypes"/>
</file>